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ayout w:type="fixed"/>
        <w:tblCellMar>
          <w:top w:w="115" w:type="dxa"/>
          <w:left w:w="0" w:type="dxa"/>
          <w:bottom w:w="115" w:type="dxa"/>
        </w:tblCellMar>
        <w:tblLook w:val="04A0" w:firstRow="1" w:lastRow="0" w:firstColumn="1" w:lastColumn="0" w:noHBand="0" w:noVBand="1"/>
      </w:tblPr>
      <w:tblGrid>
        <w:gridCol w:w="1817"/>
        <w:gridCol w:w="7733"/>
      </w:tblGrid>
      <w:tr w:rsidR="008E1864" w:rsidRPr="00330EDD" w14:paraId="5B8B6DD5" w14:textId="77777777" w:rsidTr="00170277">
        <w:trPr>
          <w:trHeight w:val="1444"/>
        </w:trPr>
        <w:tc>
          <w:tcPr>
            <w:tcW w:w="1817" w:type="dxa"/>
          </w:tcPr>
          <w:p w14:paraId="33625722" w14:textId="77777777" w:rsidR="00D71205" w:rsidRDefault="00D71205" w:rsidP="00B729A5">
            <w:pPr>
              <w:pStyle w:val="AbstractHeading"/>
              <w:contextualSpacing/>
              <w:rPr>
                <w:shd w:val="clear" w:color="auto" w:fill="FFFFFF"/>
              </w:rPr>
            </w:pPr>
            <w:bookmarkStart w:id="0" w:name="_Hlk209982594"/>
            <w:bookmarkEnd w:id="0"/>
            <w:r w:rsidRPr="00330EDD">
              <w:rPr>
                <w:shd w:val="clear" w:color="auto" w:fill="FFFFFF"/>
              </w:rPr>
              <w:t>Original Research</w:t>
            </w:r>
          </w:p>
          <w:p w14:paraId="5EB58061" w14:textId="77777777" w:rsidR="00D71205" w:rsidRPr="00A0191B" w:rsidRDefault="00D71205" w:rsidP="00B729A5">
            <w:pPr>
              <w:contextualSpacing/>
              <w:rPr>
                <w:b/>
                <w:bCs w:val="0"/>
                <w:sz w:val="6"/>
                <w:szCs w:val="6"/>
                <w:shd w:val="clear" w:color="auto" w:fill="FFFFFF"/>
              </w:rPr>
            </w:pPr>
          </w:p>
          <w:p w14:paraId="5378B70D" w14:textId="77777777" w:rsidR="0076626D" w:rsidRDefault="0076626D" w:rsidP="00B729A5">
            <w:pPr>
              <w:pStyle w:val="Dates"/>
              <w:contextualSpacing/>
            </w:pPr>
          </w:p>
          <w:p w14:paraId="740AEF96" w14:textId="3311F88B" w:rsidR="00D71205" w:rsidRDefault="00D71205" w:rsidP="00B729A5">
            <w:pPr>
              <w:pStyle w:val="Dates"/>
              <w:contextualSpacing/>
            </w:pPr>
            <w:r w:rsidRPr="00330EDD">
              <w:t>Received:</w:t>
            </w:r>
          </w:p>
          <w:p w14:paraId="62965257" w14:textId="5E7AD41E" w:rsidR="00D71205" w:rsidRPr="00330EDD" w:rsidRDefault="00EB1B6E" w:rsidP="00EB1B6E">
            <w:pPr>
              <w:pStyle w:val="Dates"/>
              <w:contextualSpacing/>
              <w:rPr>
                <w:rtl/>
              </w:rPr>
            </w:pPr>
            <w:r>
              <w:t>07</w:t>
            </w:r>
            <w:r w:rsidR="00D71205">
              <w:t xml:space="preserve"> </w:t>
            </w:r>
            <w:r>
              <w:t>May</w:t>
            </w:r>
            <w:r w:rsidR="00D71205">
              <w:t xml:space="preserve"> 202</w:t>
            </w:r>
            <w:r>
              <w:t>5</w:t>
            </w:r>
          </w:p>
          <w:p w14:paraId="73CCD419" w14:textId="381F8E9D" w:rsidR="00D71205" w:rsidRPr="00A0191B" w:rsidRDefault="00D71205" w:rsidP="00B729A5">
            <w:pPr>
              <w:pStyle w:val="Dates"/>
              <w:contextualSpacing/>
              <w:rPr>
                <w:sz w:val="6"/>
                <w:szCs w:val="6"/>
              </w:rPr>
            </w:pPr>
          </w:p>
          <w:p w14:paraId="13F1A65D" w14:textId="7E07FF22" w:rsidR="00D71205" w:rsidRPr="00330EDD" w:rsidRDefault="00D71205" w:rsidP="00EB1B6E">
            <w:pPr>
              <w:pStyle w:val="Dates"/>
              <w:contextualSpacing/>
              <w:rPr>
                <w:rtl/>
              </w:rPr>
            </w:pPr>
            <w:r w:rsidRPr="00330EDD">
              <w:t>Accepted:</w:t>
            </w:r>
            <w:r>
              <w:br/>
            </w:r>
            <w:r w:rsidR="00EB1B6E">
              <w:t>26</w:t>
            </w:r>
            <w:r w:rsidR="00D35A1D">
              <w:t xml:space="preserve"> </w:t>
            </w:r>
            <w:r w:rsidR="00EB1B6E">
              <w:t>October</w:t>
            </w:r>
            <w:r w:rsidR="00D35A1D">
              <w:t xml:space="preserve"> </w:t>
            </w:r>
            <w:r>
              <w:t>202</w:t>
            </w:r>
            <w:r w:rsidR="00EB1B6E">
              <w:t>5</w:t>
            </w:r>
          </w:p>
          <w:p w14:paraId="38880B30" w14:textId="77777777" w:rsidR="00D71205" w:rsidRPr="00EB1B6E" w:rsidRDefault="00D71205" w:rsidP="00B729A5">
            <w:pPr>
              <w:pStyle w:val="Dates"/>
              <w:contextualSpacing/>
              <w:rPr>
                <w:color w:val="0070C0"/>
                <w:sz w:val="6"/>
                <w:szCs w:val="6"/>
              </w:rPr>
            </w:pPr>
          </w:p>
          <w:p w14:paraId="03EEF9E4" w14:textId="77777777" w:rsidR="00B829BB" w:rsidRDefault="00B829BB" w:rsidP="00B829BB">
            <w:pPr>
              <w:pStyle w:val="Dates"/>
            </w:pPr>
            <w:r>
              <w:t>Published in Issue:</w:t>
            </w:r>
          </w:p>
          <w:p w14:paraId="17879104" w14:textId="01F55BC6" w:rsidR="00D71205" w:rsidRPr="008E1864" w:rsidRDefault="00B829BB" w:rsidP="00B829BB">
            <w:pPr>
              <w:pStyle w:val="Dates"/>
              <w:contextualSpacing/>
            </w:pPr>
            <w:r>
              <w:t>31 December 2025</w:t>
            </w:r>
          </w:p>
        </w:tc>
        <w:tc>
          <w:tcPr>
            <w:tcW w:w="7733" w:type="dxa"/>
            <w:vMerge w:val="restart"/>
          </w:tcPr>
          <w:p w14:paraId="28ED1890" w14:textId="522362B4" w:rsidR="00D71205" w:rsidRDefault="00D71205" w:rsidP="0076626D">
            <w:pPr>
              <w:pStyle w:val="AbstractHeading"/>
              <w:contextualSpacing/>
            </w:pPr>
            <w:r w:rsidRPr="00330EDD">
              <w:t>Abstract</w:t>
            </w:r>
          </w:p>
          <w:p w14:paraId="328E61EB" w14:textId="77777777" w:rsidR="0076626D" w:rsidRPr="0076626D" w:rsidRDefault="0076626D" w:rsidP="0076626D">
            <w:pPr>
              <w:pStyle w:val="AbstractHeading"/>
              <w:contextualSpacing/>
            </w:pPr>
          </w:p>
          <w:p w14:paraId="5FC06A3D" w14:textId="77777777" w:rsidR="007C5744" w:rsidRPr="007C5744" w:rsidRDefault="007C5744" w:rsidP="007C5744">
            <w:pPr>
              <w:spacing w:line="276" w:lineRule="auto"/>
              <w:ind w:left="90"/>
            </w:pPr>
            <w:r w:rsidRPr="007C5744">
              <w:t xml:space="preserve">Motivation constitutes one of the key factors underlying language teachers’ professional performance. It exerts a considerable influence on their pedagogical efficacy and is likely to determine their resilience across various language contexts and academic settings. The present study scrutinized the main factors among German and Iranian English teachers’ motivation. Furthermore, it examined the difference between the motivation of these teacher groups. To this end, the researchers used convenience sampling to select 281 German and 231 Iranian English teachers as the participants. Moreover, they used four reliable and valid questionnaires to examine these participants’ teaching motivation, teaching enjoyment, emotion regulation, and work engagement. Lastly, they analyzed the obtained data using structural equation modelling and t-test. The results of the study indicated that German teachers’ teaching enjoyment and work engagement were the main factors in their motivation. On the other hand, Iranian teachers’ emotion regulation and work engagement were the significant predictors of their motivation. Furthermore, German teachers’ motivation was significantly higher than that of Iranian teachers. The results of the study are likely to provide guidelines on the development of education courses and manuals for English teachers in foreign language contexts.      </w:t>
            </w:r>
          </w:p>
          <w:p w14:paraId="1F40CAE0" w14:textId="77777777" w:rsidR="00AA203D" w:rsidRPr="00AA203D" w:rsidRDefault="00AA203D" w:rsidP="00B729A5">
            <w:pPr>
              <w:pStyle w:val="Abstract"/>
              <w:contextualSpacing/>
              <w:rPr>
                <w:rStyle w:val="AbstractHeadingChar"/>
                <w:bCs/>
                <w:sz w:val="12"/>
                <w:szCs w:val="12"/>
              </w:rPr>
            </w:pPr>
          </w:p>
          <w:p w14:paraId="67E1C690" w14:textId="5DC174C4" w:rsidR="00D71205" w:rsidRPr="00D71205" w:rsidRDefault="00D71205" w:rsidP="007C5744">
            <w:pPr>
              <w:pStyle w:val="Abstract"/>
              <w:contextualSpacing/>
            </w:pPr>
            <w:r w:rsidRPr="00AA203D">
              <w:rPr>
                <w:rStyle w:val="AbstractHeadingChar"/>
              </w:rPr>
              <w:t>Keywords:</w:t>
            </w:r>
            <w:r w:rsidRPr="00AA203D">
              <w:t xml:space="preserve"> </w:t>
            </w:r>
            <w:r w:rsidR="007C5744" w:rsidRPr="007C5744">
              <w:t>German English teachers</w:t>
            </w:r>
            <w:r w:rsidR="007C5744">
              <w:t>;</w:t>
            </w:r>
            <w:r w:rsidR="007C5744" w:rsidRPr="007C5744">
              <w:rPr>
                <w:b/>
              </w:rPr>
              <w:t xml:space="preserve"> </w:t>
            </w:r>
            <w:r w:rsidR="007C5744" w:rsidRPr="007C5744">
              <w:t>Iranian English teachers</w:t>
            </w:r>
            <w:r w:rsidR="007C5744">
              <w:t>;</w:t>
            </w:r>
            <w:r w:rsidR="007C5744" w:rsidRPr="007C5744">
              <w:t xml:space="preserve"> teacher factors</w:t>
            </w:r>
            <w:r w:rsidR="007C5744">
              <w:t>;</w:t>
            </w:r>
            <w:r w:rsidR="007C5744" w:rsidRPr="007C5744">
              <w:t xml:space="preserve"> teaching motivation      </w:t>
            </w:r>
          </w:p>
        </w:tc>
      </w:tr>
      <w:tr w:rsidR="008E1864" w:rsidRPr="00330EDD" w14:paraId="46D02A4A" w14:textId="77777777" w:rsidTr="00170277">
        <w:trPr>
          <w:trHeight w:val="1444"/>
        </w:trPr>
        <w:tc>
          <w:tcPr>
            <w:tcW w:w="1817" w:type="dxa"/>
            <w:vAlign w:val="bottom"/>
          </w:tcPr>
          <w:p w14:paraId="52CE7ADD" w14:textId="2C030970" w:rsidR="00D71205" w:rsidRPr="008E1864" w:rsidRDefault="00D71205" w:rsidP="00B729A5">
            <w:pPr>
              <w:pStyle w:val="Terms"/>
              <w:contextualSpacing/>
            </w:pPr>
            <w:r w:rsidRPr="008E1864">
              <w:t>©</w:t>
            </w:r>
            <w:r w:rsidR="008E1864" w:rsidRPr="008E1864">
              <w:t xml:space="preserve"> </w:t>
            </w:r>
            <w:r w:rsidRPr="008E1864">
              <w:t xml:space="preserve">2025 the Author(s). Published by the OICC Press under the terms of the </w:t>
            </w:r>
            <w:hyperlink r:id="rId8" w:history="1">
              <w:r w:rsidRPr="008E1864">
                <w:rPr>
                  <w:rStyle w:val="Hyperlink"/>
                  <w:color w:val="0000FF"/>
                </w:rPr>
                <w:t>CC BY 4.0, Creative Commons Attribution License</w:t>
              </w:r>
            </w:hyperlink>
            <w:r w:rsidRPr="008E1864">
              <w:rPr>
                <w:rStyle w:val="Hyperlink"/>
                <w:color w:val="auto"/>
              </w:rPr>
              <w:t>, which permits use, distribution and reproduction in any medium, provided the original work is properly cited.</w:t>
            </w:r>
          </w:p>
        </w:tc>
        <w:tc>
          <w:tcPr>
            <w:tcW w:w="7733" w:type="dxa"/>
            <w:vMerge/>
          </w:tcPr>
          <w:p w14:paraId="564C43C1" w14:textId="77777777" w:rsidR="00D71205" w:rsidRPr="00330EDD" w:rsidRDefault="00D71205" w:rsidP="00B729A5">
            <w:pPr>
              <w:pStyle w:val="AbstractHeading"/>
              <w:contextualSpacing/>
            </w:pPr>
          </w:p>
        </w:tc>
      </w:tr>
    </w:tbl>
    <w:p w14:paraId="795FA67C" w14:textId="234ECEB7" w:rsidR="00293141" w:rsidRPr="00293141" w:rsidRDefault="00293141" w:rsidP="00293141">
      <w:pPr>
        <w:spacing w:before="120"/>
        <w:rPr>
          <w:noProof/>
          <w:sz w:val="16"/>
          <w:szCs w:val="16"/>
        </w:rPr>
      </w:pPr>
      <w:r>
        <w:rPr>
          <w:b/>
          <w:sz w:val="16"/>
          <w:szCs w:val="16"/>
        </w:rPr>
        <w:t>Cite this article:</w:t>
      </w:r>
      <w:r>
        <w:rPr>
          <w:sz w:val="16"/>
          <w:szCs w:val="16"/>
        </w:rPr>
        <w:t xml:space="preserve"> </w:t>
      </w:r>
      <w:r w:rsidRPr="00293141">
        <w:rPr>
          <w:noProof/>
          <w:sz w:val="16"/>
          <w:szCs w:val="16"/>
        </w:rPr>
        <w:t>Ahangaran</w:t>
      </w:r>
      <w:r w:rsidRPr="008D3FBC">
        <w:rPr>
          <w:noProof/>
          <w:sz w:val="16"/>
          <w:szCs w:val="16"/>
        </w:rPr>
        <w:t xml:space="preserve">, </w:t>
      </w:r>
      <w:r>
        <w:rPr>
          <w:noProof/>
          <w:sz w:val="16"/>
          <w:szCs w:val="16"/>
        </w:rPr>
        <w:t>F</w:t>
      </w:r>
      <w:r w:rsidRPr="008D3FBC">
        <w:rPr>
          <w:noProof/>
          <w:sz w:val="16"/>
          <w:szCs w:val="16"/>
        </w:rPr>
        <w:t>.</w:t>
      </w:r>
      <w:r>
        <w:rPr>
          <w:noProof/>
          <w:sz w:val="16"/>
          <w:szCs w:val="16"/>
        </w:rPr>
        <w:t xml:space="preserve">, </w:t>
      </w:r>
      <w:r w:rsidRPr="00293141">
        <w:rPr>
          <w:noProof/>
          <w:sz w:val="16"/>
          <w:szCs w:val="16"/>
        </w:rPr>
        <w:t>Pouyan</w:t>
      </w:r>
      <w:r>
        <w:rPr>
          <w:noProof/>
          <w:sz w:val="16"/>
          <w:szCs w:val="16"/>
        </w:rPr>
        <w:t xml:space="preserve">, A., </w:t>
      </w:r>
      <w:r w:rsidRPr="00293141">
        <w:rPr>
          <w:noProof/>
          <w:sz w:val="16"/>
          <w:szCs w:val="16"/>
        </w:rPr>
        <w:t>A Structural Equation Modelling Analysis of Factors Influencing Teaching Motivation among German and Iranian English Instructors , J. Engl. Lang. Pedagog. Pract., 18(2) Article 17 (2025).</w:t>
      </w:r>
      <w:r w:rsidRPr="00AF1EC6">
        <w:rPr>
          <w:noProof/>
          <w:sz w:val="16"/>
          <w:szCs w:val="16"/>
        </w:rPr>
        <w:t xml:space="preserve"> </w:t>
      </w:r>
      <w:hyperlink r:id="rId9" w:history="1">
        <w:r w:rsidRPr="00293141">
          <w:rPr>
            <w:noProof/>
            <w:color w:val="0070C0"/>
            <w:sz w:val="16"/>
            <w:szCs w:val="16"/>
          </w:rPr>
          <w:t>doi.org/10.57647/jelpp.2025.1802.17</w:t>
        </w:r>
      </w:hyperlink>
    </w:p>
    <w:p w14:paraId="50F361A2" w14:textId="4B5F0457" w:rsidR="002B4252" w:rsidRDefault="002B4252" w:rsidP="00B729A5">
      <w:pPr>
        <w:contextualSpacing/>
      </w:pPr>
    </w:p>
    <w:p w14:paraId="17364F48" w14:textId="77777777" w:rsidR="00293141" w:rsidRDefault="00293141" w:rsidP="00B729A5">
      <w:pPr>
        <w:contextualSpacing/>
        <w:sectPr w:rsidR="00293141" w:rsidSect="005576DB">
          <w:headerReference w:type="even" r:id="rId10"/>
          <w:headerReference w:type="default" r:id="rId11"/>
          <w:footerReference w:type="even" r:id="rId12"/>
          <w:footerReference w:type="default" r:id="rId13"/>
          <w:headerReference w:type="first" r:id="rId14"/>
          <w:footerReference w:type="first" r:id="rId15"/>
          <w:pgSz w:w="11909" w:h="16834" w:code="9"/>
          <w:pgMar w:top="1282" w:right="1109" w:bottom="1253" w:left="1109" w:header="720" w:footer="720" w:gutter="0"/>
          <w:cols w:space="720"/>
          <w:titlePg/>
          <w:docGrid w:linePitch="360"/>
        </w:sectPr>
      </w:pPr>
    </w:p>
    <w:p w14:paraId="67B2C9C4" w14:textId="029BB216" w:rsidR="002B4252" w:rsidRDefault="00170277" w:rsidP="00740550">
      <w:pPr>
        <w:pStyle w:val="Heading1"/>
        <w:numPr>
          <w:ilvl w:val="0"/>
          <w:numId w:val="11"/>
        </w:numPr>
        <w:contextualSpacing/>
      </w:pPr>
      <w:r>
        <w:t>Introduction</w:t>
      </w:r>
    </w:p>
    <w:p w14:paraId="3C47BED9" w14:textId="775B061D" w:rsidR="003D2F1B" w:rsidRDefault="003D2F1B" w:rsidP="00374332">
      <w:pPr>
        <w:rPr>
          <w:b/>
          <w:bCs w:val="0"/>
          <w:sz w:val="24"/>
          <w:szCs w:val="24"/>
        </w:rPr>
      </w:pPr>
    </w:p>
    <w:p w14:paraId="2771510B" w14:textId="6E5C291A" w:rsidR="003D2F1B" w:rsidRPr="00374332" w:rsidRDefault="003D2F1B" w:rsidP="00374332">
      <w:pPr>
        <w:spacing w:line="276" w:lineRule="auto"/>
        <w:rPr>
          <w:bCs w:val="0"/>
        </w:rPr>
      </w:pPr>
      <w:r w:rsidRPr="00374332">
        <w:t xml:space="preserve">A careful review of the recent studies of language teachers </w:t>
      </w:r>
      <w:hyperlink w:anchor="ALEXANDER2020" w:history="1">
        <w:r w:rsidRPr="00374332">
          <w:rPr>
            <w:rStyle w:val="Hyperlink"/>
          </w:rPr>
          <w:t>(e.g., Alexander et al., 2020;</w:t>
        </w:r>
      </w:hyperlink>
      <w:r w:rsidRPr="00374332">
        <w:t xml:space="preserve"> </w:t>
      </w:r>
      <w:hyperlink w:anchor="BING2022" w:history="1">
        <w:r w:rsidRPr="00374332">
          <w:rPr>
            <w:rStyle w:val="Hyperlink"/>
          </w:rPr>
          <w:t>Bing et al., 2022;</w:t>
        </w:r>
      </w:hyperlink>
      <w:r w:rsidRPr="00374332">
        <w:t xml:space="preserve"> </w:t>
      </w:r>
      <w:hyperlink w:anchor="BURI2020" w:history="1">
        <w:r w:rsidRPr="00374332">
          <w:rPr>
            <w:rStyle w:val="Hyperlink"/>
          </w:rPr>
          <w:t>Buric et al., 2020;</w:t>
        </w:r>
      </w:hyperlink>
      <w:r w:rsidRPr="00374332">
        <w:t xml:space="preserve"> </w:t>
      </w:r>
      <w:hyperlink w:anchor="XIAO2022" w:history="1">
        <w:r w:rsidRPr="00374332">
          <w:rPr>
            <w:rStyle w:val="Hyperlink"/>
          </w:rPr>
          <w:t>Xiao et al., 2022;</w:t>
        </w:r>
      </w:hyperlink>
      <w:r w:rsidRPr="00374332">
        <w:t xml:space="preserve"> </w:t>
      </w:r>
      <w:hyperlink w:anchor="XIYUN2022" w:history="1">
        <w:r w:rsidRPr="00374332">
          <w:rPr>
            <w:rStyle w:val="Hyperlink"/>
          </w:rPr>
          <w:t>Xiyun, et al., 2022;</w:t>
        </w:r>
      </w:hyperlink>
      <w:r w:rsidRPr="00374332">
        <w:t xml:space="preserve"> </w:t>
      </w:r>
      <w:hyperlink w:anchor="YANG2022" w:history="1">
        <w:r w:rsidRPr="00374332">
          <w:rPr>
            <w:rStyle w:val="Hyperlink"/>
          </w:rPr>
          <w:t>Yang et al., 2022)</w:t>
        </w:r>
      </w:hyperlink>
      <w:r w:rsidRPr="00374332">
        <w:t xml:space="preserve"> indicates that they have focused on </w:t>
      </w:r>
      <w:r w:rsidRPr="00374332">
        <w:rPr>
          <w:i/>
          <w:iCs/>
        </w:rPr>
        <w:t>teacher factors</w:t>
      </w:r>
      <w:r w:rsidRPr="00374332">
        <w:t xml:space="preserve"> in different academic settings. </w:t>
      </w:r>
      <w:hyperlink w:anchor="CHANG2021" w:history="1">
        <w:r w:rsidRPr="00374332">
          <w:rPr>
            <w:rStyle w:val="Hyperlink"/>
          </w:rPr>
          <w:t>Chang and Taxer (2021)</w:t>
        </w:r>
      </w:hyperlink>
      <w:r w:rsidRPr="00374332">
        <w:t xml:space="preserve"> defined teacher factors as all of the teacher-internal variables that are likely to have a noticeable effect on language teachers’ mental health, coping, and pedagogical efficacy in the context of the classroom. Likewise, </w:t>
      </w:r>
      <w:hyperlink w:anchor="DENG2022" w:history="1">
        <w:r w:rsidRPr="00374332">
          <w:rPr>
            <w:rStyle w:val="Hyperlink"/>
          </w:rPr>
          <w:t>Deng et al. (2022)</w:t>
        </w:r>
      </w:hyperlink>
      <w:r w:rsidRPr="00374332">
        <w:t xml:space="preserve"> stated that these </w:t>
      </w:r>
      <w:r w:rsidRPr="00374332">
        <w:lastRenderedPageBreak/>
        <w:t>factors encompass language teachers’ affective features that affect their language teaching practices by influencing their psychological composure. As they noted, among these factors, Teacher Motivation (TM) has been a recurrent variable in numerous empirical studies.</w:t>
      </w:r>
    </w:p>
    <w:p w14:paraId="413ECE0A" w14:textId="33D6C3B2" w:rsidR="003D2F1B" w:rsidRPr="00374332" w:rsidRDefault="00374332" w:rsidP="00374332">
      <w:pPr>
        <w:spacing w:line="276" w:lineRule="auto"/>
      </w:pPr>
      <w:r>
        <w:t xml:space="preserve">   </w:t>
      </w:r>
      <w:hyperlink w:anchor="SKAALVIK2020" w:history="1">
        <w:r w:rsidR="003D2F1B" w:rsidRPr="00374332">
          <w:rPr>
            <w:rStyle w:val="Hyperlink"/>
          </w:rPr>
          <w:t>Skaalvik and Skaalvik (2020)</w:t>
        </w:r>
      </w:hyperlink>
      <w:r w:rsidR="003D2F1B" w:rsidRPr="00374332">
        <w:t xml:space="preserve"> defined language teachers’ TM as the reasons behind their decisions to engage in language instruction in various academic settings. Similarly, </w:t>
      </w:r>
      <w:hyperlink w:anchor="ROTH2007" w:history="1">
        <w:r w:rsidR="003D2F1B" w:rsidRPr="00374332">
          <w:rPr>
            <w:rStyle w:val="Hyperlink"/>
          </w:rPr>
          <w:t>Roth et al. (2007)</w:t>
        </w:r>
      </w:hyperlink>
      <w:r w:rsidR="003D2F1B" w:rsidRPr="00374332">
        <w:t xml:space="preserve"> pointed out that TM encompasses all of the factors that prompt the language teachers to take advantage of efficacious instructional strategies and techniques for ameliorating their learners’ acquisition of diverse aspects of the second language. As they explained, the widespread interest in language teachers’ TM stems from the fact that it is likely to influence all of the aspects of teachers’ pedagogical choices including their choice of instructional approaches along with their language teaching strategies and practices in their classes. They concluded that TM is an affective factor that can be influenced by teachers’ affective and personal variables.</w:t>
      </w:r>
    </w:p>
    <w:p w14:paraId="21733492" w14:textId="438B3F83" w:rsidR="003D2F1B" w:rsidRDefault="00374332" w:rsidP="00374332">
      <w:pPr>
        <w:spacing w:line="276" w:lineRule="auto"/>
      </w:pPr>
      <w:r>
        <w:t xml:space="preserve">   </w:t>
      </w:r>
      <w:hyperlink w:anchor="YUAN2017" w:history="1">
        <w:r w:rsidR="003D2F1B" w:rsidRPr="00374332">
          <w:rPr>
            <w:rStyle w:val="Hyperlink"/>
          </w:rPr>
          <w:t>Yuan and Zhang (2017)</w:t>
        </w:r>
      </w:hyperlink>
      <w:r w:rsidR="003D2F1B" w:rsidRPr="00374332">
        <w:t xml:space="preserve"> stated that among the various teacher factors, language </w:t>
      </w:r>
      <w:bookmarkStart w:id="2" w:name="_Hlk215256439"/>
      <w:r w:rsidR="003D2F1B" w:rsidRPr="00374332">
        <w:t>teachers’ Teaching Enjoyment (TE), Emotion Regulation (ER), and Work Engagement (WE)</w:t>
      </w:r>
      <w:bookmarkEnd w:id="2"/>
      <w:r w:rsidR="003D2F1B" w:rsidRPr="00374332">
        <w:t xml:space="preserve"> (which will be explained in detail in the following section) have attracted attention as the affective variables that may influence their TM. They concluded that there is a need for more research on language teachers’ TM in different language learning contexts.  </w:t>
      </w:r>
    </w:p>
    <w:p w14:paraId="50104EB1" w14:textId="77777777" w:rsidR="00374332" w:rsidRPr="00374332" w:rsidRDefault="00374332" w:rsidP="00374332">
      <w:pPr>
        <w:spacing w:line="276" w:lineRule="auto"/>
      </w:pPr>
    </w:p>
    <w:p w14:paraId="5BB47DD5" w14:textId="690DB512" w:rsidR="003D2F1B" w:rsidRDefault="003D2F1B" w:rsidP="00374332">
      <w:pPr>
        <w:spacing w:line="276" w:lineRule="auto"/>
        <w:rPr>
          <w:b/>
          <w:bCs w:val="0"/>
        </w:rPr>
      </w:pPr>
      <w:r w:rsidRPr="00374332">
        <w:rPr>
          <w:b/>
          <w:bCs w:val="0"/>
        </w:rPr>
        <w:t>Background Studies</w:t>
      </w:r>
    </w:p>
    <w:p w14:paraId="4DE85851" w14:textId="77777777" w:rsidR="00374332" w:rsidRPr="00374332" w:rsidRDefault="00374332" w:rsidP="00374332">
      <w:pPr>
        <w:spacing w:line="276" w:lineRule="auto"/>
        <w:rPr>
          <w:b/>
        </w:rPr>
      </w:pPr>
    </w:p>
    <w:p w14:paraId="364C4872" w14:textId="5288D571" w:rsidR="003D2F1B" w:rsidRPr="00374332" w:rsidRDefault="003D2F1B" w:rsidP="00374332">
      <w:pPr>
        <w:spacing w:line="276" w:lineRule="auto"/>
        <w:rPr>
          <w:bCs w:val="0"/>
        </w:rPr>
      </w:pPr>
      <w:r w:rsidRPr="00374332">
        <w:t xml:space="preserve">The examination of the recent research on teachers’ variables </w:t>
      </w:r>
      <w:hyperlink w:anchor="ALEXANDER2020" w:history="1">
        <w:r w:rsidRPr="00374332">
          <w:rPr>
            <w:rStyle w:val="Hyperlink"/>
          </w:rPr>
          <w:t>(e.g., Alexander et al., 2020;</w:t>
        </w:r>
      </w:hyperlink>
      <w:r w:rsidRPr="00374332">
        <w:t xml:space="preserve"> </w:t>
      </w:r>
      <w:hyperlink w:anchor="SKAALVIK2020" w:history="1">
        <w:r w:rsidRPr="00374332">
          <w:rPr>
            <w:rStyle w:val="Hyperlink"/>
          </w:rPr>
          <w:t>Skaalvik &amp; Skaalvik, 2020)</w:t>
        </w:r>
      </w:hyperlink>
      <w:r w:rsidRPr="00374332">
        <w:t xml:space="preserve"> indicates that language teachers’ TM has attracted considerable attention in language education. </w:t>
      </w:r>
      <w:hyperlink w:anchor="ROTH2007" w:history="1">
        <w:r w:rsidRPr="00374332">
          <w:rPr>
            <w:rStyle w:val="Hyperlink"/>
          </w:rPr>
          <w:t>Roth et al. (2007)</w:t>
        </w:r>
      </w:hyperlink>
      <w:r w:rsidRPr="00374332">
        <w:t xml:space="preserve"> defined TM as the totality of the factors that motivate language teachers to adopt effective instructional practices to enhance learners’ acquisition of the target language. The above-mentioned definition highlights the fact that various factors are likely to affect teachers’ tendency to engage in second language instruction </w:t>
      </w:r>
      <w:hyperlink w:anchor="ALEXANDER2020" w:history="1">
        <w:r w:rsidRPr="00374332">
          <w:rPr>
            <w:rStyle w:val="Hyperlink"/>
          </w:rPr>
          <w:t>(Alexander et al., 2020)</w:t>
        </w:r>
      </w:hyperlink>
      <w:r w:rsidRPr="00374332">
        <w:t xml:space="preserve">. Considering this issue, </w:t>
      </w:r>
      <w:hyperlink w:anchor="ROTH2007" w:history="1">
        <w:r w:rsidRPr="00374332">
          <w:rPr>
            <w:rStyle w:val="Hyperlink"/>
          </w:rPr>
          <w:t>Roth et al. (2007)</w:t>
        </w:r>
      </w:hyperlink>
      <w:r w:rsidRPr="00374332">
        <w:t xml:space="preserve"> identified four main sub-categories of language teachers’ TM including </w:t>
      </w:r>
      <w:r w:rsidRPr="00374332">
        <w:rPr>
          <w:i/>
          <w:iCs/>
        </w:rPr>
        <w:t>intrinsic, extrinsic, identified</w:t>
      </w:r>
      <w:r w:rsidRPr="00374332">
        <w:t xml:space="preserve">, and </w:t>
      </w:r>
      <w:r w:rsidRPr="00374332">
        <w:rPr>
          <w:i/>
          <w:iCs/>
        </w:rPr>
        <w:t>introjected</w:t>
      </w:r>
      <w:r w:rsidRPr="00374332">
        <w:t xml:space="preserve"> sub-components. As they explained, teachers’ intrinsic motivation refers to their interest in language instruction that is not influenced by the external rewards. On the other hand, extrinsic motivation encompasses teachers’ tendency to engage in language teaching in order to achieve a certain objective or to win an external award. Moreover, identified motivation refers to the extent to </w:t>
      </w:r>
      <w:r w:rsidRPr="00374332">
        <w:t xml:space="preserve">which teachers are cognizant of the advantages of language instruction before engaging in it. Lastly, introjected motivation encompasses teachers’ internal desire to teach the target language that results in their tension when they are not able to teach the language in an effective way.  </w:t>
      </w:r>
      <w:hyperlink w:anchor="ROTH2007" w:history="1">
        <w:r w:rsidRPr="00374332">
          <w:rPr>
            <w:rStyle w:val="Hyperlink"/>
          </w:rPr>
          <w:t>Roth et al. (2007)</w:t>
        </w:r>
      </w:hyperlink>
      <w:r w:rsidRPr="00374332">
        <w:t xml:space="preserve"> concluded that teachers’ TM is likely to be affected by their TE, ER, and WE among the other affective factors.</w:t>
      </w:r>
    </w:p>
    <w:p w14:paraId="2783FEC1" w14:textId="671FAE2A" w:rsidR="003D2F1B" w:rsidRPr="00374332" w:rsidRDefault="00374332" w:rsidP="00374332">
      <w:pPr>
        <w:spacing w:line="276" w:lineRule="auto"/>
      </w:pPr>
      <w:r>
        <w:t xml:space="preserve">   </w:t>
      </w:r>
      <w:hyperlink w:anchor="DEWAELE2022" w:history="1">
        <w:r w:rsidR="003D2F1B" w:rsidRPr="00374332">
          <w:rPr>
            <w:rStyle w:val="Hyperlink"/>
          </w:rPr>
          <w:t>Dewaele and Li (2022)</w:t>
        </w:r>
      </w:hyperlink>
      <w:r w:rsidR="003D2F1B" w:rsidRPr="00374332">
        <w:t xml:space="preserve"> stated that TE constitutes an affective factor that determines the extent to which language teachers derive satisfaction from their language instruction and make an effort to perform their academic tasks in an efficacious way. In line with this definition, </w:t>
      </w:r>
      <w:hyperlink w:anchor="PROIETTI2021" w:history="1">
        <w:r w:rsidR="003D2F1B" w:rsidRPr="00374332">
          <w:rPr>
            <w:rStyle w:val="Hyperlink"/>
          </w:rPr>
          <w:t>Proietti Ergün and Dewaele (2021)</w:t>
        </w:r>
      </w:hyperlink>
      <w:r w:rsidR="003D2F1B" w:rsidRPr="00374332">
        <w:t xml:space="preserve"> itemized three main sub-components of TE including </w:t>
      </w:r>
      <w:r w:rsidR="003D2F1B" w:rsidRPr="00374332">
        <w:rPr>
          <w:i/>
          <w:iCs/>
        </w:rPr>
        <w:t>social enjoyment, personal enjoyment</w:t>
      </w:r>
      <w:r w:rsidR="003D2F1B" w:rsidRPr="00374332">
        <w:t xml:space="preserve">, and </w:t>
      </w:r>
      <w:r w:rsidR="003D2F1B" w:rsidRPr="00374332">
        <w:rPr>
          <w:i/>
          <w:iCs/>
        </w:rPr>
        <w:t>learner appreciation</w:t>
      </w:r>
      <w:r w:rsidR="003D2F1B" w:rsidRPr="00374332">
        <w:t>. As they explained, social enjoyment refers to the satisfaction that teachers derive from development of working relationships with their peers and students. Furthermore, personal enjoyment specifies the extent to which target language instruction ameliorates teacher’ perspectives on their own pedagogical capabilities. Finally, learner appreciation refers to teachers’ positive feelings that stem from their learners’ understanding of their vital role in the context of the classroom.</w:t>
      </w:r>
    </w:p>
    <w:p w14:paraId="69B4502A" w14:textId="77777777" w:rsidR="00374332" w:rsidRDefault="00374332" w:rsidP="00374332">
      <w:pPr>
        <w:spacing w:line="276" w:lineRule="auto"/>
      </w:pPr>
      <w:r>
        <w:t xml:space="preserve">   </w:t>
      </w:r>
      <w:r w:rsidR="003D2F1B" w:rsidRPr="00374332">
        <w:t xml:space="preserve">In addition, </w:t>
      </w:r>
      <w:hyperlink w:anchor="LI2022" w:history="1">
        <w:r w:rsidR="003D2F1B" w:rsidRPr="00374332">
          <w:rPr>
            <w:rStyle w:val="Hyperlink"/>
          </w:rPr>
          <w:t>Li et al. (2022)</w:t>
        </w:r>
      </w:hyperlink>
      <w:r w:rsidR="003D2F1B" w:rsidRPr="00374332">
        <w:t xml:space="preserve"> noted that language teachers’ ER constitutes an affective variable that determines their stress-management capability in their classes. Accordingly, they defined ER as teachers’ ability to stifle their negative emotions by capitalizing on their internal resources. Based on the nature of teachers’ ER, </w:t>
      </w:r>
      <w:hyperlink w:anchor="GROSS2003" w:history="1">
        <w:r w:rsidR="003D2F1B" w:rsidRPr="00374332">
          <w:rPr>
            <w:rStyle w:val="Hyperlink"/>
          </w:rPr>
          <w:t>Gross and John (2003)</w:t>
        </w:r>
      </w:hyperlink>
      <w:r w:rsidR="003D2F1B" w:rsidRPr="00374332">
        <w:t xml:space="preserve"> itemized two main sub-components of this construct including </w:t>
      </w:r>
      <w:r w:rsidR="003D2F1B" w:rsidRPr="00374332">
        <w:rPr>
          <w:i/>
          <w:iCs/>
        </w:rPr>
        <w:t>cognitive reappraisal</w:t>
      </w:r>
      <w:r w:rsidR="003D2F1B" w:rsidRPr="00374332">
        <w:t xml:space="preserve"> and </w:t>
      </w:r>
      <w:r w:rsidR="003D2F1B" w:rsidRPr="00374332">
        <w:rPr>
          <w:i/>
          <w:iCs/>
        </w:rPr>
        <w:t>expressive suppression</w:t>
      </w:r>
      <w:r w:rsidR="003D2F1B" w:rsidRPr="00374332">
        <w:t>.   They explained that, teachers’ cognitive reappraisal refers to their ability to reassess various teaching conditions to ameliorate their perspectives on them. Moreover, as they noted, expressive suppression determines the degree to which teachers are able to control their behaviors that are caused by their negative emotions in the proc</w:t>
      </w:r>
      <w:r>
        <w:t>ess of language teaching.</w:t>
      </w:r>
    </w:p>
    <w:p w14:paraId="244389AA" w14:textId="1EFFBA0B" w:rsidR="003D2F1B" w:rsidRPr="00374332" w:rsidRDefault="00374332" w:rsidP="00374332">
      <w:pPr>
        <w:spacing w:line="276" w:lineRule="auto"/>
      </w:pPr>
      <w:r>
        <w:t xml:space="preserve">   </w:t>
      </w:r>
      <w:r w:rsidR="003D2F1B" w:rsidRPr="00374332">
        <w:t xml:space="preserve">Lastly, </w:t>
      </w:r>
      <w:hyperlink w:anchor="GREENIER2021" w:history="1">
        <w:r w:rsidR="003D2F1B" w:rsidRPr="00374332">
          <w:rPr>
            <w:rStyle w:val="Hyperlink"/>
          </w:rPr>
          <w:t>Greenier et al. (2021)</w:t>
        </w:r>
      </w:hyperlink>
      <w:r w:rsidR="003D2F1B" w:rsidRPr="00374332">
        <w:t xml:space="preserve"> noted that language teachers’ WE refers to an affective factor that determines their tendency to spend their time and energy to carry out their pedagogical tasks and to facilitate their learners’ language learning. Based on the structure of this construct, </w:t>
      </w:r>
      <w:hyperlink w:anchor="KLASSEN2013" w:history="1">
        <w:r w:rsidR="003D2F1B" w:rsidRPr="00374332">
          <w:rPr>
            <w:rStyle w:val="Hyperlink"/>
          </w:rPr>
          <w:t>Klassen et al. (2013)</w:t>
        </w:r>
      </w:hyperlink>
      <w:r w:rsidR="003D2F1B" w:rsidRPr="00374332">
        <w:t xml:space="preserve"> itemized three sub-components of this construct including </w:t>
      </w:r>
      <w:r w:rsidR="003D2F1B" w:rsidRPr="00374332">
        <w:rPr>
          <w:i/>
          <w:iCs/>
        </w:rPr>
        <w:t>emotional,</w:t>
      </w:r>
      <w:r w:rsidR="003D2F1B" w:rsidRPr="00374332">
        <w:t xml:space="preserve"> </w:t>
      </w:r>
      <w:r w:rsidR="003D2F1B" w:rsidRPr="00374332">
        <w:rPr>
          <w:i/>
          <w:iCs/>
        </w:rPr>
        <w:t>cognitive</w:t>
      </w:r>
      <w:r w:rsidR="003D2F1B" w:rsidRPr="00374332">
        <w:t xml:space="preserve"> and </w:t>
      </w:r>
      <w:r w:rsidR="003D2F1B" w:rsidRPr="00374332">
        <w:rPr>
          <w:i/>
          <w:iCs/>
        </w:rPr>
        <w:t xml:space="preserve">social </w:t>
      </w:r>
      <w:r w:rsidR="003D2F1B" w:rsidRPr="00374332">
        <w:t>sub-components.</w:t>
      </w:r>
      <w:r w:rsidR="003D2F1B" w:rsidRPr="00374332">
        <w:rPr>
          <w:i/>
          <w:iCs/>
        </w:rPr>
        <w:t xml:space="preserve"> </w:t>
      </w:r>
      <w:r w:rsidR="003D2F1B" w:rsidRPr="00374332">
        <w:t xml:space="preserve">They noted that emotional and cognitive engagement respectively refer to teachers’ tendency to take advantage of their cognitive resources and positive feelings to perform their instructional duties. Furthermore, social engagement refers to teachers’ proclivity to establish working </w:t>
      </w:r>
      <w:r w:rsidR="003D2F1B" w:rsidRPr="00374332">
        <w:lastRenderedPageBreak/>
        <w:t xml:space="preserve">relationships with their language learners and their colleagues in their academic settings. </w:t>
      </w:r>
    </w:p>
    <w:p w14:paraId="4E050591" w14:textId="5B959CDB" w:rsidR="003D2F1B" w:rsidRPr="00374332" w:rsidRDefault="00374332" w:rsidP="00374332">
      <w:pPr>
        <w:spacing w:line="276" w:lineRule="auto"/>
      </w:pPr>
      <w:r>
        <w:t xml:space="preserve">   </w:t>
      </w:r>
      <w:r w:rsidR="003D2F1B" w:rsidRPr="00374332">
        <w:t xml:space="preserve">In the field of language instruction, recent studies of language teachers’ TM have focused on some of the aspects of this construct without dealing with certain issues. More specifically, several studies </w:t>
      </w:r>
      <w:hyperlink w:anchor="ALEXANDER2020" w:history="1">
        <w:r w:rsidR="003D2F1B" w:rsidRPr="00374332">
          <w:rPr>
            <w:rStyle w:val="Hyperlink"/>
          </w:rPr>
          <w:t>(e.g., Alexander et al., 2020;</w:t>
        </w:r>
      </w:hyperlink>
      <w:r w:rsidR="003D2F1B" w:rsidRPr="00374332">
        <w:t xml:space="preserve"> </w:t>
      </w:r>
      <w:hyperlink w:anchor="SKAALVIK2020" w:history="1">
        <w:r w:rsidR="003D2F1B" w:rsidRPr="00374332">
          <w:rPr>
            <w:rStyle w:val="Hyperlink"/>
          </w:rPr>
          <w:t>Skaalvik &amp; Skaalvik, 2020)</w:t>
        </w:r>
      </w:hyperlink>
      <w:r w:rsidR="003D2F1B" w:rsidRPr="00374332">
        <w:t xml:space="preserve"> have examined the role of language teachers’ TM in their stress-management ability and pedagogical capability. Moreover, some studies </w:t>
      </w:r>
      <w:hyperlink w:anchor="TAO2019" w:history="1">
        <w:r w:rsidR="003D2F1B" w:rsidRPr="00374332">
          <w:rPr>
            <w:rStyle w:val="Hyperlink"/>
          </w:rPr>
          <w:t>(e.g., Tao et al., 2019)</w:t>
        </w:r>
      </w:hyperlink>
      <w:r w:rsidR="003D2F1B" w:rsidRPr="00374332">
        <w:t xml:space="preserve"> have examined language teachers’ perspectives on different aspects of their TM. Lastly, a few studies </w:t>
      </w:r>
      <w:hyperlink w:anchor="YUAN2017" w:history="1">
        <w:r w:rsidR="003D2F1B" w:rsidRPr="00374332">
          <w:rPr>
            <w:rStyle w:val="Hyperlink"/>
          </w:rPr>
          <w:t>(e.g.</w:t>
        </w:r>
        <w:bookmarkStart w:id="3" w:name="_Hlk215255184"/>
        <w:r w:rsidR="003D2F1B" w:rsidRPr="00374332">
          <w:rPr>
            <w:rStyle w:val="Hyperlink"/>
          </w:rPr>
          <w:t>,</w:t>
        </w:r>
        <w:bookmarkEnd w:id="3"/>
        <w:r w:rsidR="003D2F1B" w:rsidRPr="00374332">
          <w:rPr>
            <w:rStyle w:val="Hyperlink"/>
          </w:rPr>
          <w:t xml:space="preserve"> Yuan &amp; Zhang, 2017)</w:t>
        </w:r>
      </w:hyperlink>
      <w:r w:rsidR="003D2F1B" w:rsidRPr="00374332">
        <w:t xml:space="preserve"> have tried to examine the impacts of teacher education on teachers’ TM.</w:t>
      </w:r>
    </w:p>
    <w:p w14:paraId="31B3581B" w14:textId="70D1A89E" w:rsidR="003D2F1B" w:rsidRPr="00374332" w:rsidRDefault="00374332" w:rsidP="00374332">
      <w:pPr>
        <w:spacing w:line="276" w:lineRule="auto"/>
      </w:pPr>
      <w:r>
        <w:t xml:space="preserve">   </w:t>
      </w:r>
      <w:r w:rsidR="003D2F1B" w:rsidRPr="00374332">
        <w:t>Nonetheless, the above-mentioned studies have not examined the degree to which language teachers’ affective factors including their TE, ER, and WE predict the variance in their TM. Moreover, these studies have not investigated the differences between the predictors of teachers’ TM in different language contexts. The present study strived to deal with these issues in the contexts of Germany that is a country in which English is widely used in education and media and Iran in which English constitutes a school and university subject. Accordingly, it endeavored to answer the following questions:</w:t>
      </w:r>
    </w:p>
    <w:p w14:paraId="4847C1C6" w14:textId="77777777" w:rsidR="003D2F1B" w:rsidRPr="00374332" w:rsidRDefault="003D2F1B" w:rsidP="00374332">
      <w:pPr>
        <w:spacing w:line="276" w:lineRule="auto"/>
      </w:pPr>
      <w:r w:rsidRPr="00374332">
        <w:t>1. Do German teachers’ TE, ER, and WE significantly predict their TM?</w:t>
      </w:r>
    </w:p>
    <w:p w14:paraId="03E1AB17" w14:textId="77777777" w:rsidR="003D2F1B" w:rsidRPr="00374332" w:rsidRDefault="003D2F1B" w:rsidP="00374332">
      <w:pPr>
        <w:spacing w:line="276" w:lineRule="auto"/>
      </w:pPr>
      <w:r w:rsidRPr="00374332">
        <w:t xml:space="preserve">2.  Do Iranian teachers’ TE, ER, and WE significantly predict their TM?         </w:t>
      </w:r>
    </w:p>
    <w:p w14:paraId="036D42E3" w14:textId="51BBFE7A" w:rsidR="003D2F1B" w:rsidRDefault="003D2F1B" w:rsidP="00374332">
      <w:pPr>
        <w:spacing w:line="276" w:lineRule="auto"/>
      </w:pPr>
      <w:r w:rsidRPr="00374332">
        <w:t>3. Is there a significant difference between German and Iranian teachers’ TM?</w:t>
      </w:r>
      <w:r w:rsidRPr="00374332">
        <w:tab/>
        <w:t xml:space="preserve"> </w:t>
      </w:r>
    </w:p>
    <w:p w14:paraId="341E647D" w14:textId="77777777" w:rsidR="00374332" w:rsidRPr="00374332" w:rsidRDefault="00374332" w:rsidP="00374332">
      <w:pPr>
        <w:spacing w:line="276" w:lineRule="auto"/>
      </w:pPr>
    </w:p>
    <w:p w14:paraId="11ABB46B" w14:textId="1289418B" w:rsidR="003D2F1B" w:rsidRPr="00374332" w:rsidRDefault="003D2F1B" w:rsidP="00374332">
      <w:pPr>
        <w:spacing w:line="276" w:lineRule="auto"/>
        <w:jc w:val="center"/>
        <w:rPr>
          <w:b/>
          <w:bCs w:val="0"/>
          <w:sz w:val="22"/>
          <w:szCs w:val="22"/>
        </w:rPr>
      </w:pPr>
      <w:r w:rsidRPr="00374332">
        <w:rPr>
          <w:b/>
          <w:bCs w:val="0"/>
          <w:sz w:val="22"/>
          <w:szCs w:val="22"/>
        </w:rPr>
        <w:t>Method</w:t>
      </w:r>
    </w:p>
    <w:p w14:paraId="36A41D2E" w14:textId="77777777" w:rsidR="00374332" w:rsidRPr="00374332" w:rsidRDefault="00374332" w:rsidP="00374332">
      <w:pPr>
        <w:spacing w:line="276" w:lineRule="auto"/>
        <w:jc w:val="center"/>
        <w:rPr>
          <w:b/>
        </w:rPr>
      </w:pPr>
    </w:p>
    <w:p w14:paraId="033517F5" w14:textId="736B80BA" w:rsidR="003D2F1B" w:rsidRDefault="003D2F1B" w:rsidP="00374332">
      <w:pPr>
        <w:spacing w:line="276" w:lineRule="auto"/>
        <w:rPr>
          <w:b/>
          <w:bCs w:val="0"/>
        </w:rPr>
      </w:pPr>
      <w:r w:rsidRPr="00374332">
        <w:rPr>
          <w:b/>
          <w:bCs w:val="0"/>
        </w:rPr>
        <w:t>Participants</w:t>
      </w:r>
    </w:p>
    <w:p w14:paraId="7E36434C" w14:textId="77777777" w:rsidR="00374332" w:rsidRPr="00374332" w:rsidRDefault="00374332" w:rsidP="00374332">
      <w:pPr>
        <w:spacing w:line="276" w:lineRule="auto"/>
        <w:rPr>
          <w:b/>
          <w:bCs w:val="0"/>
        </w:rPr>
      </w:pPr>
    </w:p>
    <w:p w14:paraId="342E4F12" w14:textId="77777777" w:rsidR="00261709" w:rsidRDefault="003D2F1B" w:rsidP="00374332">
      <w:pPr>
        <w:spacing w:line="276" w:lineRule="auto"/>
      </w:pPr>
      <w:r w:rsidRPr="00374332">
        <w:t xml:space="preserve">Considering the aims of the study, first, the researchers selected various reputable language institutes (e.g., inlingua Sprachschule Köln &amp; Deutsch Aktiv Sprachinstitut) in seven major cities in Germany including Berlin, Hamburg, Munich, Cologne, Stuttgart, Düsseldorf, and Frankfurt and Main and language institutes (e.g., Navid English Institute &amp; Avatalk) in seven major cities in Iran including Urmia, Tabriz, Tehran, Mashhad, Shiraz, Yazd, and Kermanshah. These institutes applied strict criteria for employing their teachers and used similar teacher education courses for preparing their teachers for their service years. Second, they contacted the managers of the relevant institutes, informed them about the aims, obtained their consent to the study, and asked them to furnish them with the contact information (i.e., email address) of their English </w:t>
      </w:r>
      <w:r w:rsidR="00261709">
        <w:br/>
      </w:r>
    </w:p>
    <w:p w14:paraId="26E4D67D" w14:textId="3F3A21C5" w:rsidR="003D2F1B" w:rsidRPr="00374332" w:rsidRDefault="003D2F1B" w:rsidP="00374332">
      <w:pPr>
        <w:spacing w:line="276" w:lineRule="auto"/>
        <w:rPr>
          <w:bCs w:val="0"/>
        </w:rPr>
      </w:pPr>
      <w:r w:rsidRPr="00374332">
        <w:t xml:space="preserve">teachers. The researchers were provided with the contact information of 563 English teachers including 302 German and 261 Iranian teachers.  </w:t>
      </w:r>
    </w:p>
    <w:p w14:paraId="29610604" w14:textId="77777777" w:rsidR="00374332" w:rsidRDefault="00374332" w:rsidP="00374332">
      <w:pPr>
        <w:spacing w:line="276" w:lineRule="auto"/>
      </w:pPr>
      <w:r>
        <w:t xml:space="preserve">   </w:t>
      </w:r>
      <w:r w:rsidR="003D2F1B" w:rsidRPr="00374332">
        <w:t xml:space="preserve">Second, the researchers contacted these teachers in a one-month period, apprised them of the aims, and invited them to take part in the study. Twelve German and 14 Iranian teachers did not answer the researchers’ emails. Moreover, 9 German and 16 Iranian teachers refused to participate in the study owing to different reasons such as their busy schedule among the others. Nonetheless, the remaining 281 German and 231 Iranian teachers agreed to take part in the study and completed the written consent forms and the demographic information questionnaire of the present study. The examination of German and Iranian teachers’ academic background indicated that they held either a B.A. or an M.A degree in an English-related field. Moreover, German teachers ranged in age from 26 to 52 while Iranian teachers were in the age range of 23 to 61. German teachers were native speakers of German and Iranian teachers were native speakers of Azeri, Persian, or Kurdish. German teachers’ language teaching experience was in the range of 2 to 23 years and Iranian teachers ranged in experience from 1 to 28 years. Lastly, both German and Iranian teachers taught basic to advanced levels.   </w:t>
      </w:r>
    </w:p>
    <w:p w14:paraId="34055400" w14:textId="5986F48F" w:rsidR="003D2F1B" w:rsidRPr="00374332" w:rsidRDefault="003D2F1B" w:rsidP="00374332">
      <w:pPr>
        <w:spacing w:line="276" w:lineRule="auto"/>
      </w:pPr>
      <w:r w:rsidRPr="00374332">
        <w:t xml:space="preserve">               </w:t>
      </w:r>
    </w:p>
    <w:p w14:paraId="4B7465A2" w14:textId="3E6F37CD" w:rsidR="003D2F1B" w:rsidRDefault="003D2F1B" w:rsidP="00374332">
      <w:pPr>
        <w:spacing w:line="276" w:lineRule="auto"/>
        <w:rPr>
          <w:b/>
          <w:bCs w:val="0"/>
        </w:rPr>
      </w:pPr>
      <w:r w:rsidRPr="00374332">
        <w:rPr>
          <w:b/>
          <w:bCs w:val="0"/>
        </w:rPr>
        <w:t xml:space="preserve">Instruments </w:t>
      </w:r>
    </w:p>
    <w:p w14:paraId="4BBC866B" w14:textId="77777777" w:rsidR="00374332" w:rsidRPr="00374332" w:rsidRDefault="00374332" w:rsidP="00374332">
      <w:pPr>
        <w:spacing w:line="276" w:lineRule="auto"/>
        <w:rPr>
          <w:b/>
        </w:rPr>
      </w:pPr>
    </w:p>
    <w:p w14:paraId="4B6BC554" w14:textId="635BBD76" w:rsidR="003D2F1B" w:rsidRDefault="003D2F1B" w:rsidP="00374332">
      <w:pPr>
        <w:spacing w:line="276" w:lineRule="auto"/>
      </w:pPr>
      <w:r w:rsidRPr="00374332">
        <w:t xml:space="preserve">The researchers used five questionnaires in order to gather the required data. These questionnaires were administered to the participants separately, and each took approximately 10 minutes to complete.  Four of these instruments comprised Likert-scale items. Consequently, the researchers used Cronbach’s Alpha (CA) measure to examine the reliability of the questionnaires in a pilot study that involved 28 German and 26 Iranian English teachers who were similar to the participants of the main study in terms of their characteristics. The following section elaborates on these questionnaires.   </w:t>
      </w:r>
    </w:p>
    <w:p w14:paraId="007DFA51" w14:textId="78B502A4" w:rsidR="003D2F1B" w:rsidRPr="00374332" w:rsidRDefault="003D2F1B" w:rsidP="00374332">
      <w:pPr>
        <w:spacing w:line="276" w:lineRule="auto"/>
      </w:pPr>
      <w:r w:rsidRPr="00374332">
        <w:rPr>
          <w:b/>
          <w:bCs w:val="0"/>
        </w:rPr>
        <w:t xml:space="preserve">Demographic information questionnaire. </w:t>
      </w:r>
      <w:r w:rsidRPr="00374332">
        <w:t xml:space="preserve">In this study, the researchers used a demographic information questionnaire to examine the participants’ academic degree, age, gender, and experience. </w:t>
      </w:r>
    </w:p>
    <w:p w14:paraId="0F30CBFE" w14:textId="77777777" w:rsidR="00261709" w:rsidRDefault="003D2F1B" w:rsidP="00261709">
      <w:pPr>
        <w:spacing w:line="276" w:lineRule="auto"/>
      </w:pPr>
      <w:r w:rsidRPr="00374332">
        <w:rPr>
          <w:b/>
          <w:bCs w:val="0"/>
        </w:rPr>
        <w:t xml:space="preserve">Teaching motivation (TM) questionnaire. </w:t>
      </w:r>
      <w:r w:rsidRPr="00374332">
        <w:t xml:space="preserve">In light of the aims, the researchers used </w:t>
      </w:r>
      <w:hyperlink w:anchor="ROTH2007" w:history="1">
        <w:r w:rsidRPr="00374332">
          <w:rPr>
            <w:rStyle w:val="Hyperlink"/>
          </w:rPr>
          <w:t>Roth et al.’s (2007)</w:t>
        </w:r>
      </w:hyperlink>
      <w:r w:rsidRPr="00374332">
        <w:t xml:space="preserve"> TM questionnaire in order to examine German and Iranian teachers’ TM in their relevant settings. This instrument involves 16 items that are rated on a five-point Likert-scale. They examine four main sub-components of TM including </w:t>
      </w:r>
      <w:r w:rsidRPr="00374332">
        <w:rPr>
          <w:i/>
          <w:iCs/>
        </w:rPr>
        <w:t>intrinsic, extrinsic, identified</w:t>
      </w:r>
      <w:r w:rsidRPr="00374332">
        <w:t xml:space="preserve">, and </w:t>
      </w:r>
      <w:r w:rsidRPr="00374332">
        <w:rPr>
          <w:i/>
          <w:iCs/>
        </w:rPr>
        <w:t>introjected</w:t>
      </w:r>
      <w:r w:rsidRPr="00374332">
        <w:t xml:space="preserve"> motivation sub-components.</w:t>
      </w:r>
    </w:p>
    <w:p w14:paraId="7BF89DE2" w14:textId="646198D3" w:rsidR="003D2F1B" w:rsidRPr="00374332" w:rsidRDefault="003D2F1B" w:rsidP="00261709">
      <w:pPr>
        <w:spacing w:line="276" w:lineRule="auto"/>
      </w:pPr>
      <w:r w:rsidRPr="00374332">
        <w:lastRenderedPageBreak/>
        <w:t xml:space="preserve">The results of CA analysis indicated that the reliability indices of this questionnaire were .85 and .82 in the contexts of Germany and Iran respectively.  </w:t>
      </w:r>
    </w:p>
    <w:p w14:paraId="0BCDEA9B" w14:textId="500E8E78" w:rsidR="003D2F1B" w:rsidRPr="00374332" w:rsidRDefault="003D2F1B" w:rsidP="00374332">
      <w:pPr>
        <w:spacing w:line="276" w:lineRule="auto"/>
      </w:pPr>
      <w:r w:rsidRPr="00374332">
        <w:rPr>
          <w:b/>
          <w:bCs w:val="0"/>
        </w:rPr>
        <w:t xml:space="preserve">Teacher enjoyment (TE) questionnaire. </w:t>
      </w:r>
      <w:r w:rsidRPr="00374332">
        <w:t xml:space="preserve">In the present study, </w:t>
      </w:r>
      <w:hyperlink w:anchor="PROIETTI2021" w:history="1">
        <w:r w:rsidRPr="00374332">
          <w:rPr>
            <w:rStyle w:val="Hyperlink"/>
          </w:rPr>
          <w:t>Proietti Ergün and Dewaele’s (2021)</w:t>
        </w:r>
      </w:hyperlink>
      <w:r w:rsidRPr="00374332">
        <w:t xml:space="preserve"> TE questionnaire was used to obtain the required data on German and Iranian teachers’ TE. This instrument comprises nine items that focus on three main aspects of TE including </w:t>
      </w:r>
      <w:r w:rsidRPr="00374332">
        <w:rPr>
          <w:i/>
          <w:iCs/>
        </w:rPr>
        <w:t>social enjoyment, personal enjoyment</w:t>
      </w:r>
      <w:r w:rsidRPr="00374332">
        <w:t xml:space="preserve">, and </w:t>
      </w:r>
      <w:r w:rsidRPr="00374332">
        <w:rPr>
          <w:i/>
          <w:iCs/>
        </w:rPr>
        <w:t>learner appreciation</w:t>
      </w:r>
      <w:r w:rsidRPr="00374332">
        <w:t xml:space="preserve">. These items are rated on a 5-point Likert scale.  Based on the results of CA analysis, the reliability of this questionnaire was acceptable in German (.88) and Iranian (.85) contexts and it could be utilized in the present study.     </w:t>
      </w:r>
    </w:p>
    <w:p w14:paraId="75ADF2EE" w14:textId="0805866E" w:rsidR="003D2F1B" w:rsidRPr="00374332" w:rsidRDefault="003D2F1B" w:rsidP="00374332">
      <w:pPr>
        <w:spacing w:line="276" w:lineRule="auto"/>
      </w:pPr>
      <w:r w:rsidRPr="00374332">
        <w:rPr>
          <w:b/>
          <w:bCs w:val="0"/>
        </w:rPr>
        <w:t xml:space="preserve">Emotion regulation (ER) questionnaire. </w:t>
      </w:r>
      <w:r w:rsidRPr="00374332">
        <w:t xml:space="preserve">Given the main aims, </w:t>
      </w:r>
      <w:hyperlink w:anchor="GROSS2003" w:history="1">
        <w:r w:rsidRPr="00374332">
          <w:rPr>
            <w:rStyle w:val="Hyperlink"/>
          </w:rPr>
          <w:t>Gross and John’s (2003)</w:t>
        </w:r>
      </w:hyperlink>
      <w:r w:rsidRPr="00374332">
        <w:t xml:space="preserve"> ER questionnaire was used to examine German and Iranian teachers’ ER in this study. This instrument focuses on two main sub-components of ER including </w:t>
      </w:r>
      <w:r w:rsidRPr="00374332">
        <w:rPr>
          <w:i/>
          <w:iCs/>
        </w:rPr>
        <w:t>cognitive reappraisal</w:t>
      </w:r>
      <w:r w:rsidRPr="00374332">
        <w:t xml:space="preserve"> and </w:t>
      </w:r>
      <w:r w:rsidRPr="00374332">
        <w:rPr>
          <w:i/>
          <w:iCs/>
        </w:rPr>
        <w:t>expressive suppression</w:t>
      </w:r>
      <w:r w:rsidRPr="00374332">
        <w:t xml:space="preserve">. It involves 10 items that are rated on a 7-point scale. Based on the results of CA analysis, the reliability indices of this questionnaire were .84 and .87 in German and Iranian contexts respectively and it was used to collect the required data.     </w:t>
      </w:r>
    </w:p>
    <w:p w14:paraId="2D4D7E43" w14:textId="6D267722" w:rsidR="003D2F1B" w:rsidRDefault="003D2F1B" w:rsidP="00374332">
      <w:pPr>
        <w:spacing w:line="276" w:lineRule="auto"/>
      </w:pPr>
      <w:r w:rsidRPr="00374332">
        <w:rPr>
          <w:b/>
          <w:bCs w:val="0"/>
        </w:rPr>
        <w:t xml:space="preserve">Work engagement (WE) questionnaire. </w:t>
      </w:r>
      <w:r w:rsidRPr="00374332">
        <w:t xml:space="preserve">The researchers used </w:t>
      </w:r>
      <w:hyperlink w:anchor="KLASSEN2013" w:history="1">
        <w:r w:rsidRPr="00374332">
          <w:rPr>
            <w:rStyle w:val="Hyperlink"/>
          </w:rPr>
          <w:t>Klassen et al.’s (2013)</w:t>
        </w:r>
      </w:hyperlink>
      <w:r w:rsidRPr="00374332">
        <w:t xml:space="preserve"> WE questionnaire to examine the WE of German and Iranian teacher groups. This instrument examines teachers’ </w:t>
      </w:r>
      <w:r w:rsidRPr="00374332">
        <w:rPr>
          <w:i/>
          <w:iCs/>
        </w:rPr>
        <w:t>emotional</w:t>
      </w:r>
      <w:r w:rsidRPr="00374332">
        <w:t xml:space="preserve"> and </w:t>
      </w:r>
      <w:r w:rsidRPr="00374332">
        <w:rPr>
          <w:i/>
          <w:iCs/>
        </w:rPr>
        <w:t>cognitive</w:t>
      </w:r>
      <w:r w:rsidRPr="00374332">
        <w:t xml:space="preserve"> engagement along with their </w:t>
      </w:r>
      <w:r w:rsidRPr="00374332">
        <w:rPr>
          <w:i/>
          <w:iCs/>
        </w:rPr>
        <w:t>social engagement</w:t>
      </w:r>
      <w:r w:rsidRPr="00374332">
        <w:t xml:space="preserve"> with their learners and peers. It encompasses 16 items that are rated on a 7-point scale. According to the results of CA analysis, the reliability indices of this instrument were .88 and .84 in German and Iranian contexts and it could be employed in this study.      </w:t>
      </w:r>
    </w:p>
    <w:p w14:paraId="77B5320F" w14:textId="77777777" w:rsidR="00374332" w:rsidRPr="00374332" w:rsidRDefault="00374332" w:rsidP="00374332">
      <w:pPr>
        <w:spacing w:line="276" w:lineRule="auto"/>
      </w:pPr>
    </w:p>
    <w:p w14:paraId="423777C5" w14:textId="77777777" w:rsidR="00374332" w:rsidRDefault="003D2F1B" w:rsidP="00374332">
      <w:pPr>
        <w:spacing w:line="276" w:lineRule="auto"/>
        <w:rPr>
          <w:b/>
          <w:bCs w:val="0"/>
        </w:rPr>
      </w:pPr>
      <w:r w:rsidRPr="00374332">
        <w:rPr>
          <w:b/>
          <w:bCs w:val="0"/>
        </w:rPr>
        <w:t xml:space="preserve">Procedure </w:t>
      </w:r>
    </w:p>
    <w:p w14:paraId="10F1961A" w14:textId="265912EB" w:rsidR="003D2F1B" w:rsidRPr="00374332" w:rsidRDefault="003D2F1B" w:rsidP="00374332">
      <w:pPr>
        <w:spacing w:line="276" w:lineRule="auto"/>
        <w:rPr>
          <w:b/>
        </w:rPr>
      </w:pPr>
      <w:r w:rsidRPr="00374332">
        <w:rPr>
          <w:b/>
          <w:bCs w:val="0"/>
        </w:rPr>
        <w:t xml:space="preserve"> </w:t>
      </w:r>
    </w:p>
    <w:p w14:paraId="29EBC30A" w14:textId="77777777" w:rsidR="00374332" w:rsidRDefault="003D2F1B" w:rsidP="00374332">
      <w:pPr>
        <w:spacing w:line="276" w:lineRule="auto"/>
      </w:pPr>
      <w:r w:rsidRPr="00374332">
        <w:t xml:space="preserve">In this study, first, the researchers used convenience sampling in order to select 281 German and 231 Iranian English teachers in seven major cities in Germany and seven major cities in Iran as the participants and obtained written informed consent from them. Second, they administered </w:t>
      </w:r>
      <w:hyperlink w:anchor="ROTH2007" w:history="1">
        <w:r w:rsidRPr="00374332">
          <w:rPr>
            <w:rStyle w:val="Hyperlink"/>
          </w:rPr>
          <w:t>Roth et al.’s (2007)</w:t>
        </w:r>
      </w:hyperlink>
      <w:r w:rsidRPr="00374332">
        <w:t xml:space="preserve"> TM, Proietti Ergün and Dewaele’s (2021) TE, </w:t>
      </w:r>
      <w:hyperlink w:anchor="GROSS2003" w:history="1">
        <w:r w:rsidRPr="00374332">
          <w:rPr>
            <w:rStyle w:val="Hyperlink"/>
          </w:rPr>
          <w:t>Gross and John’s (2003)</w:t>
        </w:r>
      </w:hyperlink>
      <w:r w:rsidRPr="00374332">
        <w:t xml:space="preserve"> ER, and </w:t>
      </w:r>
      <w:hyperlink w:anchor="KLASSEN2013" w:history="1">
        <w:r w:rsidRPr="00374332">
          <w:rPr>
            <w:rStyle w:val="Hyperlink"/>
          </w:rPr>
          <w:t>Klassen et al.’s (2013)</w:t>
        </w:r>
      </w:hyperlink>
      <w:r w:rsidRPr="00374332">
        <w:t xml:space="preserve"> WE questionnaires to them at three-day intervals to examine their TM, TE, ER, and WE respectively. German participants and Iranian participants returned the completed questionnaires to the researchers in a two-month period and a three-month period respectively. Lastly, the researchers analyzed the collected data using Amos 22.  </w:t>
      </w:r>
    </w:p>
    <w:p w14:paraId="1F181B0B" w14:textId="20E2B166" w:rsidR="003D2F1B" w:rsidRDefault="003D2F1B" w:rsidP="00374332">
      <w:pPr>
        <w:spacing w:line="276" w:lineRule="auto"/>
      </w:pPr>
      <w:r w:rsidRPr="00374332">
        <w:t xml:space="preserve">    </w:t>
      </w:r>
    </w:p>
    <w:p w14:paraId="33BC6987" w14:textId="77777777" w:rsidR="00261709" w:rsidRPr="00374332" w:rsidRDefault="00261709" w:rsidP="00374332">
      <w:pPr>
        <w:spacing w:line="276" w:lineRule="auto"/>
        <w:rPr>
          <w:bCs w:val="0"/>
        </w:rPr>
      </w:pPr>
    </w:p>
    <w:p w14:paraId="7AD2464A" w14:textId="1D6E5E60" w:rsidR="003D2F1B" w:rsidRDefault="003D2F1B" w:rsidP="00374332">
      <w:pPr>
        <w:spacing w:line="276" w:lineRule="auto"/>
        <w:rPr>
          <w:b/>
          <w:bCs w:val="0"/>
        </w:rPr>
      </w:pPr>
      <w:r w:rsidRPr="00374332">
        <w:rPr>
          <w:b/>
          <w:bCs w:val="0"/>
        </w:rPr>
        <w:t>Design</w:t>
      </w:r>
    </w:p>
    <w:p w14:paraId="2E274378" w14:textId="77777777" w:rsidR="00374332" w:rsidRPr="00374332" w:rsidRDefault="00374332" w:rsidP="00374332">
      <w:pPr>
        <w:spacing w:line="276" w:lineRule="auto"/>
        <w:rPr>
          <w:b/>
        </w:rPr>
      </w:pPr>
    </w:p>
    <w:p w14:paraId="6D63BBF3" w14:textId="77777777" w:rsidR="00374332" w:rsidRDefault="003D2F1B" w:rsidP="00374332">
      <w:pPr>
        <w:spacing w:line="276" w:lineRule="auto"/>
      </w:pPr>
      <w:r w:rsidRPr="00374332">
        <w:t xml:space="preserve">The researchers conducted this study using the </w:t>
      </w:r>
      <w:r w:rsidRPr="00374332">
        <w:rPr>
          <w:i/>
          <w:iCs/>
        </w:rPr>
        <w:t>predictive correlational design.</w:t>
      </w:r>
      <w:r w:rsidRPr="00374332">
        <w:t xml:space="preserve"> </w:t>
      </w:r>
      <w:hyperlink w:anchor="CRESWELL2017" w:history="1">
        <w:r w:rsidRPr="00374332">
          <w:rPr>
            <w:rStyle w:val="Hyperlink"/>
          </w:rPr>
          <w:t>Creswell and Creswell (2017)</w:t>
        </w:r>
      </w:hyperlink>
      <w:r w:rsidRPr="00374332">
        <w:t xml:space="preserve"> pointed out that this design helps the researchers to examine the extent to which several independent variables predict a certain dependent variable. Likewise, in this study, the researchers used this design to determine the degree to which three independent variables of the study including German and Iranian English teachers’ TE, ER, and WE predicted their TM that was the dependent variable of the study.</w:t>
      </w:r>
    </w:p>
    <w:p w14:paraId="6FDF8828" w14:textId="77E37DF3" w:rsidR="003D2F1B" w:rsidRPr="00374332" w:rsidRDefault="003D2F1B" w:rsidP="00374332">
      <w:pPr>
        <w:spacing w:line="276" w:lineRule="auto"/>
        <w:rPr>
          <w:bCs w:val="0"/>
        </w:rPr>
      </w:pPr>
      <w:r w:rsidRPr="00374332">
        <w:t xml:space="preserve">  </w:t>
      </w:r>
    </w:p>
    <w:p w14:paraId="6D77495C" w14:textId="2A334B09" w:rsidR="003D2F1B" w:rsidRDefault="003D2F1B" w:rsidP="00374332">
      <w:pPr>
        <w:spacing w:line="276" w:lineRule="auto"/>
        <w:rPr>
          <w:b/>
          <w:bCs w:val="0"/>
        </w:rPr>
      </w:pPr>
      <w:r w:rsidRPr="00374332">
        <w:rPr>
          <w:b/>
          <w:bCs w:val="0"/>
        </w:rPr>
        <w:t xml:space="preserve">Data Analysis </w:t>
      </w:r>
    </w:p>
    <w:p w14:paraId="0CD2562A" w14:textId="77777777" w:rsidR="00374332" w:rsidRPr="00374332" w:rsidRDefault="00374332" w:rsidP="00374332">
      <w:pPr>
        <w:spacing w:line="276" w:lineRule="auto"/>
        <w:rPr>
          <w:b/>
        </w:rPr>
      </w:pPr>
    </w:p>
    <w:p w14:paraId="51B4B0B4" w14:textId="77777777" w:rsidR="00374332" w:rsidRDefault="003D2F1B" w:rsidP="00374332">
      <w:pPr>
        <w:spacing w:line="276" w:lineRule="auto"/>
      </w:pPr>
      <w:r w:rsidRPr="00374332">
        <w:t xml:space="preserve">In the present study, the researchers used Structural Equation Modelling (SEM) test to examine the predictive role of German and Iranian teachers’ TE, ER, and WE in their TM </w:t>
      </w:r>
      <w:hyperlink w:anchor="PALLANT2020" w:history="1">
        <w:r w:rsidRPr="00374332">
          <w:rPr>
            <w:rStyle w:val="Hyperlink"/>
          </w:rPr>
          <w:t>(Pallant, 2020)</w:t>
        </w:r>
      </w:hyperlink>
      <w:r w:rsidRPr="00374332">
        <w:t xml:space="preserve">. Moreover, they used independent-samples t-test to examine the significance of the difference between the TM of these teacher groups </w:t>
      </w:r>
      <w:hyperlink w:anchor="PALLANT2020" w:history="1">
        <w:r w:rsidRPr="00374332">
          <w:rPr>
            <w:rStyle w:val="Hyperlink"/>
          </w:rPr>
          <w:t>(Pallant, 2020)</w:t>
        </w:r>
      </w:hyperlink>
      <w:r w:rsidRPr="00374332">
        <w:t xml:space="preserve">.     </w:t>
      </w:r>
    </w:p>
    <w:p w14:paraId="14463EBE" w14:textId="0F01C379" w:rsidR="003D2F1B" w:rsidRPr="00374332" w:rsidRDefault="003D2F1B" w:rsidP="00374332">
      <w:pPr>
        <w:spacing w:line="276" w:lineRule="auto"/>
        <w:rPr>
          <w:bCs w:val="0"/>
        </w:rPr>
      </w:pPr>
      <w:r w:rsidRPr="00374332">
        <w:t xml:space="preserve"> </w:t>
      </w:r>
    </w:p>
    <w:p w14:paraId="65E1BD49" w14:textId="1FB60C7D" w:rsidR="003D2F1B" w:rsidRPr="00374332" w:rsidRDefault="003D2F1B" w:rsidP="00374332">
      <w:pPr>
        <w:spacing w:line="276" w:lineRule="auto"/>
        <w:jc w:val="center"/>
        <w:rPr>
          <w:b/>
          <w:bCs w:val="0"/>
          <w:sz w:val="22"/>
          <w:szCs w:val="22"/>
        </w:rPr>
      </w:pPr>
      <w:r w:rsidRPr="00374332">
        <w:rPr>
          <w:b/>
          <w:bCs w:val="0"/>
          <w:sz w:val="22"/>
          <w:szCs w:val="22"/>
        </w:rPr>
        <w:t>Results</w:t>
      </w:r>
    </w:p>
    <w:p w14:paraId="2609DFF1" w14:textId="77777777" w:rsidR="00374332" w:rsidRPr="00374332" w:rsidRDefault="00374332" w:rsidP="00374332">
      <w:pPr>
        <w:spacing w:line="276" w:lineRule="auto"/>
        <w:jc w:val="center"/>
        <w:rPr>
          <w:b/>
        </w:rPr>
      </w:pPr>
    </w:p>
    <w:p w14:paraId="2027978D" w14:textId="6B2795C9" w:rsidR="003D2F1B" w:rsidRPr="00374332" w:rsidRDefault="003D2F1B" w:rsidP="00374332">
      <w:pPr>
        <w:spacing w:line="276" w:lineRule="auto"/>
        <w:rPr>
          <w:bCs w:val="0"/>
        </w:rPr>
      </w:pPr>
      <w:bookmarkStart w:id="4" w:name="_Hlk215258050"/>
      <w:r w:rsidRPr="00374332">
        <w:t xml:space="preserve">The first research question </w:t>
      </w:r>
      <w:bookmarkEnd w:id="4"/>
      <w:r w:rsidRPr="00374332">
        <w:t xml:space="preserve">examined the predictors of German teachers’ TM. Therefore, the researchers used SEM to analyze the data. </w:t>
      </w:r>
      <w:hyperlink w:anchor="FIG1" w:history="1">
        <w:r w:rsidRPr="000305E0">
          <w:rPr>
            <w:rStyle w:val="Hyperlink"/>
          </w:rPr>
          <w:t>Figure 1</w:t>
        </w:r>
      </w:hyperlink>
      <w:r w:rsidRPr="00374332">
        <w:t xml:space="preserve"> shows the model of the predictors of German EFL teachers’ TM. </w:t>
      </w:r>
    </w:p>
    <w:p w14:paraId="66E1AE55" w14:textId="12C55BC1" w:rsidR="003D2F1B" w:rsidRPr="00374332" w:rsidRDefault="00374332" w:rsidP="00374332">
      <w:pPr>
        <w:spacing w:line="276" w:lineRule="auto"/>
      </w:pPr>
      <w:r>
        <w:t xml:space="preserve">   </w:t>
      </w:r>
      <w:r w:rsidR="003D2F1B" w:rsidRPr="00374332">
        <w:t xml:space="preserve">The researchers examined the regression weights of German EFL teachers’ TE, ER and WE to determine the degree to which these variables predicted the TM of this group of language teachers. </w:t>
      </w:r>
      <w:hyperlink w:anchor="TABLE1" w:history="1">
        <w:r w:rsidR="003D2F1B" w:rsidRPr="000305E0">
          <w:rPr>
            <w:rStyle w:val="Hyperlink"/>
          </w:rPr>
          <w:t>Table 1</w:t>
        </w:r>
      </w:hyperlink>
      <w:r w:rsidR="003D2F1B" w:rsidRPr="00374332">
        <w:t xml:space="preserve"> shows these results.</w:t>
      </w:r>
    </w:p>
    <w:p w14:paraId="1C727DA6" w14:textId="344D07C3" w:rsidR="00374332" w:rsidRDefault="00374332" w:rsidP="00374332">
      <w:pPr>
        <w:spacing w:line="276" w:lineRule="auto"/>
        <w:rPr>
          <w:rFonts w:eastAsiaTheme="minorHAnsi"/>
          <w:bCs w:val="0"/>
        </w:rPr>
      </w:pPr>
      <w:r>
        <w:rPr>
          <w:b/>
          <w:bCs w:val="0"/>
        </w:rPr>
        <w:t xml:space="preserve">   </w:t>
      </w:r>
      <w:r w:rsidR="003D2F1B" w:rsidRPr="00374332">
        <w:t xml:space="preserve">According to </w:t>
      </w:r>
      <w:hyperlink w:anchor="TABLE1" w:history="1">
        <w:r w:rsidR="003D2F1B" w:rsidRPr="000305E0">
          <w:rPr>
            <w:rStyle w:val="Hyperlink"/>
          </w:rPr>
          <w:t>Table 1</w:t>
        </w:r>
      </w:hyperlink>
      <w:r w:rsidR="003D2F1B" w:rsidRPr="00374332">
        <w:t xml:space="preserve">, German EFL teachers’ TE and WE were significant predictors of their TM, C.R.&gt;1.96; p&lt;.05. Therefore, the researchers examined the standardized estimates to determine the most significant predictor of their TM. </w:t>
      </w:r>
      <w:hyperlink w:anchor="TABLE2" w:history="1">
        <w:r w:rsidR="003D2F1B" w:rsidRPr="000305E0">
          <w:rPr>
            <w:rStyle w:val="Hyperlink"/>
          </w:rPr>
          <w:t>Table 2</w:t>
        </w:r>
      </w:hyperlink>
      <w:r w:rsidR="003D2F1B" w:rsidRPr="00374332">
        <w:t xml:space="preserve"> shows these results. </w:t>
      </w:r>
    </w:p>
    <w:p w14:paraId="41C0051C" w14:textId="05B06B2D" w:rsidR="003D2F1B" w:rsidRPr="00374332" w:rsidRDefault="00374332" w:rsidP="00374332">
      <w:pPr>
        <w:spacing w:line="276" w:lineRule="auto"/>
        <w:rPr>
          <w:rFonts w:eastAsiaTheme="minorHAnsi"/>
          <w:bCs w:val="0"/>
        </w:rPr>
      </w:pPr>
      <w:r>
        <w:rPr>
          <w:rFonts w:eastAsiaTheme="minorHAnsi"/>
          <w:bCs w:val="0"/>
        </w:rPr>
        <w:t xml:space="preserve">   </w:t>
      </w:r>
      <w:r w:rsidR="003D2F1B" w:rsidRPr="00374332">
        <w:t xml:space="preserve">As shown in </w:t>
      </w:r>
      <w:hyperlink w:anchor="TABLE2" w:history="1">
        <w:r w:rsidR="003D2F1B" w:rsidRPr="000305E0">
          <w:rPr>
            <w:rStyle w:val="Hyperlink"/>
          </w:rPr>
          <w:t>Table 2</w:t>
        </w:r>
      </w:hyperlink>
      <w:r w:rsidR="003D2F1B" w:rsidRPr="00374332">
        <w:t xml:space="preserve">, German EFL teachers’ WE </w:t>
      </w:r>
      <w:r w:rsidR="003D2F1B" w:rsidRPr="00374332">
        <w:rPr>
          <w:i/>
          <w:iCs/>
        </w:rPr>
        <w:t>(.991)</w:t>
      </w:r>
      <w:r w:rsidR="003D2F1B" w:rsidRPr="00374332">
        <w:t xml:space="preserve"> and TE </w:t>
      </w:r>
      <w:r w:rsidR="003D2F1B" w:rsidRPr="00374332">
        <w:rPr>
          <w:i/>
          <w:iCs/>
        </w:rPr>
        <w:t>(.143)</w:t>
      </w:r>
      <w:r w:rsidR="003D2F1B" w:rsidRPr="00374332">
        <w:t xml:space="preserve"> were respectively the first and the second most significant predictors of their TM. Based on these results, the researchers examined the model fit. </w:t>
      </w:r>
      <w:hyperlink w:anchor="TABLE3" w:history="1">
        <w:r w:rsidR="003D2F1B" w:rsidRPr="000305E0">
          <w:rPr>
            <w:rStyle w:val="Hyperlink"/>
          </w:rPr>
          <w:t>Table 3</w:t>
        </w:r>
      </w:hyperlink>
      <w:r w:rsidR="003D2F1B" w:rsidRPr="00374332">
        <w:t xml:space="preserve"> provides the relevant results.</w:t>
      </w:r>
    </w:p>
    <w:p w14:paraId="160E52AE" w14:textId="4DE0B281" w:rsidR="003D2F1B" w:rsidRPr="00374332" w:rsidRDefault="00374332" w:rsidP="00374332">
      <w:pPr>
        <w:spacing w:line="276" w:lineRule="auto"/>
        <w:rPr>
          <w:rFonts w:eastAsiaTheme="minorHAnsi"/>
          <w:bCs w:val="0"/>
        </w:rPr>
      </w:pPr>
      <w:r>
        <w:rPr>
          <w:b/>
          <w:bCs w:val="0"/>
        </w:rPr>
        <w:t xml:space="preserve">   </w:t>
      </w:r>
      <w:r w:rsidR="003D2F1B" w:rsidRPr="00374332">
        <w:t xml:space="preserve">According to </w:t>
      </w:r>
      <w:hyperlink w:anchor="TABLE3" w:history="1">
        <w:r w:rsidR="003D2F1B" w:rsidRPr="000305E0">
          <w:rPr>
            <w:rStyle w:val="Hyperlink"/>
          </w:rPr>
          <w:t>Table 3</w:t>
        </w:r>
      </w:hyperlink>
      <w:r w:rsidR="003D2F1B" w:rsidRPr="00374332">
        <w:t xml:space="preserve">, the model fit was satisfactory, p&gt;.05; CMIN&lt;3. Consequently, the researchers scrutinized the baseline comparisons of this model to ensure its fit. </w:t>
      </w:r>
      <w:hyperlink w:anchor="TABLE4" w:history="1">
        <w:r w:rsidR="003D2F1B" w:rsidRPr="000305E0">
          <w:rPr>
            <w:rStyle w:val="Hyperlink"/>
          </w:rPr>
          <w:t>Table 4</w:t>
        </w:r>
      </w:hyperlink>
      <w:r w:rsidR="003D2F1B" w:rsidRPr="00374332">
        <w:t xml:space="preserve"> shows these results.</w:t>
      </w:r>
    </w:p>
    <w:p w14:paraId="4BD0FCF4" w14:textId="3C4F5A0E" w:rsidR="003D2F1B" w:rsidRPr="00374332" w:rsidRDefault="00374332" w:rsidP="00374332">
      <w:pPr>
        <w:spacing w:line="276" w:lineRule="auto"/>
        <w:rPr>
          <w:rFonts w:eastAsiaTheme="minorHAnsi"/>
          <w:bCs w:val="0"/>
        </w:rPr>
      </w:pPr>
      <w:r>
        <w:rPr>
          <w:b/>
          <w:bCs w:val="0"/>
        </w:rPr>
        <w:t xml:space="preserve">   </w:t>
      </w:r>
      <w:r w:rsidR="003D2F1B" w:rsidRPr="00374332">
        <w:t xml:space="preserve">According to </w:t>
      </w:r>
      <w:hyperlink w:anchor="TABLE4" w:history="1">
        <w:r w:rsidR="003D2F1B" w:rsidRPr="000305E0">
          <w:rPr>
            <w:rStyle w:val="Hyperlink"/>
          </w:rPr>
          <w:t>Table 4</w:t>
        </w:r>
      </w:hyperlink>
      <w:r w:rsidR="003D2F1B" w:rsidRPr="00374332">
        <w:t>, German EFL teachers’ TM model fit was acceptable, IFI&gt;.90; TLI&gt;.90; &amp; CFI&gt;.90.</w:t>
      </w:r>
    </w:p>
    <w:p w14:paraId="615C3DF9" w14:textId="77777777" w:rsidR="00261709" w:rsidRDefault="00374332" w:rsidP="00374332">
      <w:pPr>
        <w:spacing w:line="276" w:lineRule="auto"/>
      </w:pPr>
      <w:r>
        <w:t xml:space="preserve">   </w:t>
      </w:r>
      <w:r w:rsidR="003D2F1B" w:rsidRPr="00374332">
        <w:t>The second research question focused on the main predictors of Iranian teachers’ TM. The researchers had to use SEM to analyze the data.</w:t>
      </w:r>
    </w:p>
    <w:p w14:paraId="6969E294" w14:textId="77777777" w:rsidR="00261709" w:rsidRDefault="00261709" w:rsidP="00374332">
      <w:pPr>
        <w:spacing w:line="276" w:lineRule="auto"/>
      </w:pPr>
    </w:p>
    <w:p w14:paraId="2B84FB20" w14:textId="5B7D20B4" w:rsidR="003D2F1B" w:rsidRPr="00374332" w:rsidRDefault="004D34B3" w:rsidP="00374332">
      <w:pPr>
        <w:spacing w:line="276" w:lineRule="auto"/>
      </w:pPr>
      <w:hyperlink w:anchor="FIG2" w:history="1">
        <w:r w:rsidR="003D2F1B" w:rsidRPr="000305E0">
          <w:rPr>
            <w:rStyle w:val="Hyperlink"/>
          </w:rPr>
          <w:t>Figure 2</w:t>
        </w:r>
      </w:hyperlink>
      <w:r w:rsidR="003D2F1B" w:rsidRPr="00374332">
        <w:t xml:space="preserve"> shows the model of the predictors of these teachers’ TM.  </w:t>
      </w:r>
    </w:p>
    <w:p w14:paraId="48329093" w14:textId="363DDC7E" w:rsidR="003D2F1B" w:rsidRPr="00374332" w:rsidRDefault="00374332" w:rsidP="00374332">
      <w:pPr>
        <w:spacing w:line="276" w:lineRule="auto"/>
      </w:pPr>
      <w:r>
        <w:rPr>
          <w:b/>
          <w:bCs w:val="0"/>
        </w:rPr>
        <w:t xml:space="preserve">   </w:t>
      </w:r>
      <w:r w:rsidR="003D2F1B" w:rsidRPr="00374332">
        <w:t xml:space="preserve">The researchers examined the regression weights of Iranian EFL teachers’ TE, ER and WE to determine the degree to which these variables predicted the TM of this group of language teachers. </w:t>
      </w:r>
      <w:hyperlink w:anchor="TABLE5" w:history="1">
        <w:r w:rsidR="003D2F1B" w:rsidRPr="000305E0">
          <w:rPr>
            <w:rStyle w:val="Hyperlink"/>
          </w:rPr>
          <w:t>Table 5</w:t>
        </w:r>
      </w:hyperlink>
      <w:r w:rsidR="003D2F1B" w:rsidRPr="00374332">
        <w:t xml:space="preserve"> shows these results.</w:t>
      </w:r>
    </w:p>
    <w:p w14:paraId="56E12EFE" w14:textId="14A9819F" w:rsidR="003D2F1B" w:rsidRPr="00374332" w:rsidRDefault="00374332" w:rsidP="00374332">
      <w:pPr>
        <w:spacing w:line="276" w:lineRule="auto"/>
        <w:rPr>
          <w:rFonts w:eastAsiaTheme="minorHAnsi"/>
          <w:bCs w:val="0"/>
        </w:rPr>
      </w:pPr>
      <w:r>
        <w:t xml:space="preserve">   </w:t>
      </w:r>
      <w:r w:rsidR="003D2F1B" w:rsidRPr="00374332">
        <w:t xml:space="preserve">As shown in </w:t>
      </w:r>
      <w:hyperlink w:anchor="TABLE5" w:history="1">
        <w:r w:rsidR="003D2F1B" w:rsidRPr="000305E0">
          <w:rPr>
            <w:rStyle w:val="Hyperlink"/>
          </w:rPr>
          <w:t>Table 5</w:t>
        </w:r>
      </w:hyperlink>
      <w:r w:rsidR="003D2F1B" w:rsidRPr="00374332">
        <w:t xml:space="preserve">, Iranian EFL teachers’ ER and WE were significant predictors of their TM, </w:t>
      </w:r>
      <w:r w:rsidR="003D2F1B" w:rsidRPr="00374332">
        <w:rPr>
          <w:i/>
          <w:iCs/>
        </w:rPr>
        <w:t>C.R.&gt;1.96; p&lt;.05</w:t>
      </w:r>
      <w:r w:rsidR="003D2F1B" w:rsidRPr="00374332">
        <w:t xml:space="preserve">. Consequently, the researchers examined the standardized estimates to determine the most significant predictor of their TM. </w:t>
      </w:r>
      <w:hyperlink w:anchor="TABLE6" w:history="1">
        <w:r w:rsidR="003D2F1B" w:rsidRPr="000305E0">
          <w:rPr>
            <w:rStyle w:val="Hyperlink"/>
          </w:rPr>
          <w:t>Table 6</w:t>
        </w:r>
      </w:hyperlink>
      <w:r w:rsidR="003D2F1B" w:rsidRPr="00374332">
        <w:t xml:space="preserve"> shows these results.</w:t>
      </w:r>
    </w:p>
    <w:p w14:paraId="550093D5" w14:textId="175671D5" w:rsidR="003D2F1B" w:rsidRPr="00374332" w:rsidRDefault="00374332" w:rsidP="00374332">
      <w:pPr>
        <w:spacing w:line="276" w:lineRule="auto"/>
        <w:rPr>
          <w:rFonts w:eastAsiaTheme="minorHAnsi"/>
          <w:bCs w:val="0"/>
        </w:rPr>
      </w:pPr>
      <w:r>
        <w:rPr>
          <w:b/>
          <w:bCs w:val="0"/>
        </w:rPr>
        <w:t xml:space="preserve">   </w:t>
      </w:r>
      <w:r w:rsidR="003D2F1B" w:rsidRPr="00374332">
        <w:t xml:space="preserve">According to </w:t>
      </w:r>
      <w:hyperlink w:anchor="TABLE6" w:history="1">
        <w:r w:rsidR="003D2F1B" w:rsidRPr="000305E0">
          <w:rPr>
            <w:rStyle w:val="Hyperlink"/>
          </w:rPr>
          <w:t>Table 6</w:t>
        </w:r>
      </w:hyperlink>
      <w:r w:rsidR="003D2F1B" w:rsidRPr="00374332">
        <w:t xml:space="preserve">, Iranian EFL teachers’ WE (.983) and ER (.185) were respectively the first and the second most significant predictors of their TM. Based on these results, the researchers examined the model fit. </w:t>
      </w:r>
      <w:hyperlink w:anchor="TABLE7" w:history="1">
        <w:r w:rsidR="003D2F1B" w:rsidRPr="000305E0">
          <w:rPr>
            <w:rStyle w:val="Hyperlink"/>
          </w:rPr>
          <w:t>Table 7</w:t>
        </w:r>
      </w:hyperlink>
      <w:r w:rsidR="003D2F1B" w:rsidRPr="00374332">
        <w:t xml:space="preserve"> shows the pertinent results.</w:t>
      </w:r>
    </w:p>
    <w:p w14:paraId="66283C35" w14:textId="4A4D30AB" w:rsidR="003D2F1B" w:rsidRPr="00374332" w:rsidRDefault="00374332" w:rsidP="00374332">
      <w:pPr>
        <w:spacing w:line="276" w:lineRule="auto"/>
        <w:rPr>
          <w:rFonts w:eastAsiaTheme="minorHAnsi"/>
          <w:bCs w:val="0"/>
        </w:rPr>
      </w:pPr>
      <w:r>
        <w:rPr>
          <w:b/>
          <w:bCs w:val="0"/>
        </w:rPr>
        <w:t xml:space="preserve">   </w:t>
      </w:r>
      <w:r w:rsidR="003D2F1B" w:rsidRPr="00374332">
        <w:t xml:space="preserve">As shown in </w:t>
      </w:r>
      <w:hyperlink w:anchor="TABLE7" w:history="1">
        <w:r w:rsidR="003D2F1B" w:rsidRPr="000305E0">
          <w:rPr>
            <w:rStyle w:val="Hyperlink"/>
          </w:rPr>
          <w:t>Table 7</w:t>
        </w:r>
      </w:hyperlink>
      <w:r w:rsidR="003D2F1B" w:rsidRPr="00374332">
        <w:t xml:space="preserve">, the model fit was satisfactory, p&gt;.05; CMIN&lt;3.  As a result, the researchers examined the baseline comparisons of this model to ensure its fit. </w:t>
      </w:r>
      <w:hyperlink w:anchor="TABLE8" w:history="1">
        <w:r w:rsidR="003D2F1B" w:rsidRPr="000305E0">
          <w:rPr>
            <w:rStyle w:val="Hyperlink"/>
          </w:rPr>
          <w:t>Table 8</w:t>
        </w:r>
      </w:hyperlink>
      <w:r w:rsidR="003D2F1B" w:rsidRPr="00374332">
        <w:t xml:space="preserve"> provides these results.</w:t>
      </w:r>
    </w:p>
    <w:p w14:paraId="309AB2AB" w14:textId="47B095C9" w:rsidR="003D2F1B" w:rsidRPr="00374332" w:rsidRDefault="00374332" w:rsidP="00374332">
      <w:pPr>
        <w:spacing w:line="276" w:lineRule="auto"/>
        <w:rPr>
          <w:rFonts w:eastAsiaTheme="minorHAnsi"/>
          <w:bCs w:val="0"/>
        </w:rPr>
      </w:pPr>
      <w:r>
        <w:t xml:space="preserve">   </w:t>
      </w:r>
      <w:r w:rsidR="003D2F1B" w:rsidRPr="00374332">
        <w:t xml:space="preserve">According to </w:t>
      </w:r>
      <w:hyperlink w:anchor="TABLE8" w:history="1">
        <w:r w:rsidR="003D2F1B" w:rsidRPr="000305E0">
          <w:rPr>
            <w:rStyle w:val="Hyperlink"/>
          </w:rPr>
          <w:t>Table 8</w:t>
        </w:r>
      </w:hyperlink>
      <w:r w:rsidR="003D2F1B" w:rsidRPr="00374332">
        <w:t xml:space="preserve">, Iranian EFL teachers’ TM model fit was acceptable, IFI&gt;.90; TLI&gt;.90; &amp; CFI&gt;.90. </w:t>
      </w:r>
    </w:p>
    <w:p w14:paraId="39C515CD" w14:textId="135C586B" w:rsidR="003D2F1B" w:rsidRPr="00374332" w:rsidRDefault="00374332" w:rsidP="00374332">
      <w:pPr>
        <w:spacing w:line="276" w:lineRule="auto"/>
      </w:pPr>
      <w:r>
        <w:t xml:space="preserve">   </w:t>
      </w:r>
      <w:r w:rsidR="003D2F1B" w:rsidRPr="00374332">
        <w:t xml:space="preserve">Finally, the third research question examined the significance of the difference between German and Iranian teachers’ TM. Based on the aims, the researchers used Welch’s independent-samples t-test (due to unequal sample sizes) to determine the difference between the TM of these teacher groups. </w:t>
      </w:r>
      <w:hyperlink w:anchor="TABLE9" w:history="1">
        <w:r w:rsidR="003D2F1B" w:rsidRPr="000305E0">
          <w:rPr>
            <w:rStyle w:val="Hyperlink"/>
          </w:rPr>
          <w:t>Table 9</w:t>
        </w:r>
      </w:hyperlink>
      <w:r w:rsidR="003D2F1B" w:rsidRPr="00374332">
        <w:t xml:space="preserve"> provides descriptive statistics on German and Iranian teachers’ TM.   </w:t>
      </w:r>
    </w:p>
    <w:p w14:paraId="6DB24326" w14:textId="3DEA2F0B" w:rsidR="00374332" w:rsidRDefault="00374332" w:rsidP="00374332">
      <w:pPr>
        <w:spacing w:line="276" w:lineRule="auto"/>
        <w:rPr>
          <w:bCs w:val="0"/>
        </w:rPr>
      </w:pPr>
      <w:r>
        <w:rPr>
          <w:b/>
        </w:rPr>
        <w:t xml:space="preserve">   </w:t>
      </w:r>
      <w:r w:rsidR="003D2F1B" w:rsidRPr="00374332">
        <w:t xml:space="preserve">As shown in </w:t>
      </w:r>
      <w:hyperlink w:anchor="TABLE9" w:history="1">
        <w:r w:rsidR="003D2F1B" w:rsidRPr="000305E0">
          <w:rPr>
            <w:rStyle w:val="Hyperlink"/>
          </w:rPr>
          <w:t>Table 9</w:t>
        </w:r>
      </w:hyperlink>
      <w:r w:rsidR="003D2F1B" w:rsidRPr="00374332">
        <w:t xml:space="preserve">, there was a difference between the mean value of German teachers’ TM (M=60.54) and the mean value of Iranian teachers’ TM (M= 53.03). </w:t>
      </w:r>
      <w:hyperlink w:anchor="TABLE10" w:history="1">
        <w:r w:rsidR="003D2F1B" w:rsidRPr="000305E0">
          <w:rPr>
            <w:rStyle w:val="Hyperlink"/>
          </w:rPr>
          <w:t>Table 10</w:t>
        </w:r>
      </w:hyperlink>
      <w:r w:rsidR="003D2F1B" w:rsidRPr="00374332">
        <w:t xml:space="preserve"> shows the results of the pertinent Welch’s independent-samples t-test</w:t>
      </w:r>
      <w:r>
        <w:rPr>
          <w:bCs w:val="0"/>
        </w:rPr>
        <w:t>.</w:t>
      </w:r>
    </w:p>
    <w:p w14:paraId="440DF7F8" w14:textId="729C9D30" w:rsidR="003D2F1B" w:rsidRDefault="00374332" w:rsidP="00374332">
      <w:pPr>
        <w:spacing w:line="276" w:lineRule="auto"/>
      </w:pPr>
      <w:r>
        <w:rPr>
          <w:bCs w:val="0"/>
        </w:rPr>
        <w:t xml:space="preserve">   </w:t>
      </w:r>
      <w:r w:rsidR="003D2F1B" w:rsidRPr="00374332">
        <w:t xml:space="preserve">Welch’s t-test assumes unequal variances. The examination of the unequal variances in </w:t>
      </w:r>
      <w:hyperlink w:anchor="TABLE10" w:history="1">
        <w:r w:rsidR="003D2F1B" w:rsidRPr="000305E0">
          <w:rPr>
            <w:rStyle w:val="Hyperlink"/>
          </w:rPr>
          <w:t>Table 10</w:t>
        </w:r>
      </w:hyperlink>
      <w:r w:rsidR="003D2F1B" w:rsidRPr="00374332">
        <w:t xml:space="preserve"> showed that German teachers’ TM was significantly higher than that of Iranian teachers (p&lt;.05). </w:t>
      </w:r>
      <w:hyperlink w:anchor="FIG3" w:history="1">
        <w:r w:rsidR="003D2F1B" w:rsidRPr="000305E0">
          <w:rPr>
            <w:rStyle w:val="Hyperlink"/>
          </w:rPr>
          <w:t>Figure 3</w:t>
        </w:r>
      </w:hyperlink>
      <w:r w:rsidR="003D2F1B" w:rsidRPr="00374332">
        <w:t xml:space="preserve"> shows these results. </w:t>
      </w:r>
    </w:p>
    <w:p w14:paraId="5DCD598C" w14:textId="77777777" w:rsidR="00374332" w:rsidRPr="00374332" w:rsidRDefault="00374332" w:rsidP="00374332">
      <w:pPr>
        <w:spacing w:line="276" w:lineRule="auto"/>
        <w:rPr>
          <w:bCs w:val="0"/>
        </w:rPr>
      </w:pPr>
    </w:p>
    <w:p w14:paraId="66EEB052" w14:textId="10DA5224" w:rsidR="003D2F1B" w:rsidRPr="00374332" w:rsidRDefault="003D2F1B" w:rsidP="00374332">
      <w:pPr>
        <w:spacing w:line="276" w:lineRule="auto"/>
        <w:jc w:val="center"/>
        <w:rPr>
          <w:b/>
          <w:bCs w:val="0"/>
          <w:sz w:val="22"/>
          <w:szCs w:val="22"/>
        </w:rPr>
      </w:pPr>
      <w:r w:rsidRPr="00374332">
        <w:rPr>
          <w:b/>
          <w:bCs w:val="0"/>
          <w:sz w:val="22"/>
          <w:szCs w:val="22"/>
        </w:rPr>
        <w:t>Discussion</w:t>
      </w:r>
    </w:p>
    <w:p w14:paraId="228DE122" w14:textId="77777777" w:rsidR="00374332" w:rsidRPr="00374332" w:rsidRDefault="00374332" w:rsidP="00374332">
      <w:pPr>
        <w:spacing w:line="276" w:lineRule="auto"/>
        <w:jc w:val="center"/>
        <w:rPr>
          <w:b/>
        </w:rPr>
      </w:pPr>
    </w:p>
    <w:p w14:paraId="6DEF21B6" w14:textId="096431BF" w:rsidR="003D2F1B" w:rsidRPr="00374332" w:rsidRDefault="003D2F1B" w:rsidP="00374332">
      <w:pPr>
        <w:spacing w:line="276" w:lineRule="auto"/>
        <w:rPr>
          <w:bCs w:val="0"/>
        </w:rPr>
      </w:pPr>
      <w:r w:rsidRPr="00374332">
        <w:t xml:space="preserve">The first research question of this study scrutinized the main factors in German teachers’ TM. The results indicated that these teachers’ TE and WE were the strongest predictors of their TM in their academic settings. In general, these results corroborate the results of a number of previous studies including the studies that were conducted by </w:t>
      </w:r>
      <w:hyperlink w:anchor="MORADKHANI2017" w:history="1">
        <w:r w:rsidRPr="00374332">
          <w:rPr>
            <w:rStyle w:val="Hyperlink"/>
          </w:rPr>
          <w:t>Moradkhani et al. (2017)</w:t>
        </w:r>
      </w:hyperlink>
      <w:hyperlink w:anchor="MORADKHANI2017" w:history="1">
        <w:r w:rsidRPr="00374332">
          <w:rPr>
            <w:rStyle w:val="Hyperlink"/>
          </w:rPr>
          <w:t>,</w:t>
        </w:r>
      </w:hyperlink>
      <w:r w:rsidRPr="00374332">
        <w:t xml:space="preserve"> </w:t>
      </w:r>
      <w:hyperlink w:anchor="SONG2018" w:history="1">
        <w:r w:rsidRPr="00374332">
          <w:rPr>
            <w:rStyle w:val="Hyperlink"/>
          </w:rPr>
          <w:t>Song et al. (2018)</w:t>
        </w:r>
      </w:hyperlink>
      <w:hyperlink w:anchor="SONG2018" w:history="1">
        <w:r w:rsidRPr="00374332">
          <w:rPr>
            <w:rStyle w:val="Hyperlink"/>
          </w:rPr>
          <w:t>,</w:t>
        </w:r>
      </w:hyperlink>
      <w:r w:rsidRPr="00374332">
        <w:t xml:space="preserve"> </w:t>
      </w:r>
      <w:hyperlink w:anchor="ZENG2019" w:history="1">
        <w:r w:rsidRPr="00374332">
          <w:rPr>
            <w:rStyle w:val="Hyperlink"/>
          </w:rPr>
          <w:t>Zeng et al. (2019),</w:t>
        </w:r>
      </w:hyperlink>
      <w:r w:rsidRPr="00374332">
        <w:t xml:space="preserve"> </w:t>
      </w:r>
      <w:hyperlink w:anchor="PROIETTI2021" w:history="1">
        <w:r w:rsidRPr="00374332">
          <w:rPr>
            <w:rStyle w:val="Hyperlink"/>
          </w:rPr>
          <w:t>Proietti Ergün and Dewaele (2021),</w:t>
        </w:r>
      </w:hyperlink>
      <w:r w:rsidRPr="00374332">
        <w:t xml:space="preserve"> </w:t>
      </w:r>
      <w:hyperlink w:anchor="PROIETTI2022" w:history="1">
        <w:r w:rsidRPr="00374332">
          <w:rPr>
            <w:rStyle w:val="Hyperlink"/>
          </w:rPr>
          <w:t>Proietti Ergün, and Ersoz Demirdag (2022),</w:t>
        </w:r>
      </w:hyperlink>
      <w:r w:rsidRPr="00374332">
        <w:t xml:space="preserve"> </w:t>
      </w:r>
      <w:hyperlink w:anchor="SOODMAND2021" w:history="1">
        <w:r w:rsidRPr="00374332">
          <w:rPr>
            <w:rStyle w:val="Hyperlink"/>
          </w:rPr>
          <w:t>Soodmand Afshar and Moradifar (2021),</w:t>
        </w:r>
      </w:hyperlink>
      <w:r w:rsidRPr="00374332">
        <w:t xml:space="preserve"> </w:t>
      </w:r>
      <w:hyperlink w:anchor="SHU2022" w:history="1">
        <w:r w:rsidRPr="00374332">
          <w:rPr>
            <w:rStyle w:val="Hyperlink"/>
          </w:rPr>
          <w:t>Shu (2022),</w:t>
        </w:r>
      </w:hyperlink>
      <w:r w:rsidRPr="00374332">
        <w:t xml:space="preserve"> </w:t>
      </w:r>
      <w:hyperlink w:anchor="XIAO2022" w:history="1">
        <w:r w:rsidRPr="00374332">
          <w:rPr>
            <w:rStyle w:val="Hyperlink"/>
          </w:rPr>
          <w:t>Xiao et al. (2022),</w:t>
        </w:r>
      </w:hyperlink>
      <w:r w:rsidRPr="00374332">
        <w:t xml:space="preserve"> </w:t>
      </w:r>
      <w:hyperlink w:anchor="XIAOJING2022" w:history="1">
        <w:r w:rsidRPr="00374332">
          <w:rPr>
            <w:rStyle w:val="Hyperlink"/>
          </w:rPr>
          <w:t>Xiaojing, et al. (2022),</w:t>
        </w:r>
      </w:hyperlink>
      <w:r w:rsidRPr="00374332">
        <w:t xml:space="preserve"> </w:t>
      </w:r>
      <w:hyperlink w:anchor="XIYUN2022" w:history="1">
        <w:r w:rsidRPr="00374332">
          <w:rPr>
            <w:rStyle w:val="Hyperlink"/>
          </w:rPr>
          <w:t xml:space="preserve">and Xiyun, et </w:t>
        </w:r>
        <w:r w:rsidRPr="00374332">
          <w:rPr>
            <w:rStyle w:val="Hyperlink"/>
          </w:rPr>
          <w:t>al. (2022)</w:t>
        </w:r>
      </w:hyperlink>
      <w:r w:rsidRPr="00374332">
        <w:t xml:space="preserve">. The results of the above-mentioned studies indicated that English teachers’ TM was significantly affected by their affective factors including their TE.   </w:t>
      </w:r>
    </w:p>
    <w:p w14:paraId="09ED40DA" w14:textId="055B569B" w:rsidR="003D2F1B" w:rsidRPr="00374332" w:rsidRDefault="00374332" w:rsidP="00374332">
      <w:pPr>
        <w:spacing w:line="276" w:lineRule="auto"/>
      </w:pPr>
      <w:r>
        <w:t xml:space="preserve">  </w:t>
      </w:r>
      <w:r w:rsidR="003D2F1B" w:rsidRPr="00374332">
        <w:t xml:space="preserve"> </w:t>
      </w:r>
      <w:hyperlink w:anchor="BREINES2012" w:history="1">
        <w:r w:rsidR="003D2F1B" w:rsidRPr="00374332">
          <w:rPr>
            <w:rStyle w:val="Hyperlink"/>
          </w:rPr>
          <w:t>Breines and Chen (2012)</w:t>
        </w:r>
      </w:hyperlink>
      <w:r w:rsidR="003D2F1B" w:rsidRPr="00374332">
        <w:t xml:space="preserve"> pointed out that language teachers’ TM may be influenced by their TE. According to them, the increase in teachers’ TE prompts them to spend their time and energy to ameliorate their learners’ acquisition of the target language. As a result, teachers take advantage of efficient teaching techniques and strategies that engage the learners in language learning and positively affect their development of target language communicative competence. As </w:t>
      </w:r>
      <w:hyperlink w:anchor="BREINES2012" w:history="1">
        <w:r w:rsidR="003D2F1B" w:rsidRPr="00374332">
          <w:rPr>
            <w:rStyle w:val="Hyperlink"/>
          </w:rPr>
          <w:t>Breines and Chen (2012)</w:t>
        </w:r>
      </w:hyperlink>
      <w:r w:rsidR="003D2F1B" w:rsidRPr="00374332">
        <w:t xml:space="preserve"> explained, the improvement in learners’ language learning increases teachers’ TM and ameliorates their self-efficacy. Moreover, </w:t>
      </w:r>
      <w:hyperlink w:anchor="BURI2018" w:history="1">
        <w:r w:rsidR="003D2F1B" w:rsidRPr="00374332">
          <w:rPr>
            <w:rStyle w:val="Hyperlink"/>
          </w:rPr>
          <w:t>Burić and Macuka (2018)</w:t>
        </w:r>
      </w:hyperlink>
      <w:r w:rsidR="003D2F1B" w:rsidRPr="00374332">
        <w:t xml:space="preserve"> argued that language teachers’ WE enables them to develop and maintain working relationships with their peers and students in their workplace. They explained that these relationships empower the teachers to stifle stressors using the other individuals’ support and improve their TM for teaching the target language in an effective way. </w:t>
      </w:r>
    </w:p>
    <w:p w14:paraId="6DDD96E0" w14:textId="0165BF6B" w:rsidR="003D2F1B" w:rsidRPr="00374332" w:rsidRDefault="00374332" w:rsidP="00374332">
      <w:pPr>
        <w:spacing w:line="276" w:lineRule="auto"/>
      </w:pPr>
      <w:r>
        <w:t xml:space="preserve">   </w:t>
      </w:r>
      <w:r w:rsidR="003D2F1B" w:rsidRPr="00374332">
        <w:t xml:space="preserve">In light of these discussions, it can be averred that in the present study, German teachers’ TE was a main predictor of their TM since it improved learners’ target language learning and encouraged the teachers to ameliorate their instructional techniques. Moreover, these teachers’ WE significantly predicted their TM owing to the fact that it enabled them to establish constructive relationships with their peers and to deal with sources of stress in their classes by relying on their peers’ support. </w:t>
      </w:r>
    </w:p>
    <w:p w14:paraId="68F20B9B" w14:textId="02BC6A54" w:rsidR="003D2F1B" w:rsidRPr="00374332" w:rsidRDefault="00374332" w:rsidP="00374332">
      <w:pPr>
        <w:spacing w:line="276" w:lineRule="auto"/>
      </w:pPr>
      <w:r>
        <w:t xml:space="preserve">   </w:t>
      </w:r>
      <w:r w:rsidR="003D2F1B" w:rsidRPr="00374332">
        <w:t xml:space="preserve">The second research question examined the main factors in Iranian teachers’ TM. Based on the obtained results, these teachers’ ER and WE were the main predictors of their TM. Generally, these results are in line with the results of the studies that were carried out by </w:t>
      </w:r>
      <w:hyperlink w:anchor="DEWAELE2018" w:history="1">
        <w:r w:rsidR="003D2F1B" w:rsidRPr="00374332">
          <w:rPr>
            <w:rStyle w:val="Hyperlink"/>
          </w:rPr>
          <w:t>Dewaele et al. (2018)</w:t>
        </w:r>
      </w:hyperlink>
      <w:hyperlink w:anchor="DEWAELE2018" w:history="1">
        <w:r w:rsidR="003D2F1B" w:rsidRPr="00374332">
          <w:rPr>
            <w:rStyle w:val="Hyperlink"/>
          </w:rPr>
          <w:t>,</w:t>
        </w:r>
      </w:hyperlink>
      <w:r w:rsidR="003D2F1B" w:rsidRPr="00374332">
        <w:t xml:space="preserve"> </w:t>
      </w:r>
      <w:hyperlink w:anchor="FATHI2019" w:history="1">
        <w:r w:rsidR="003D2F1B" w:rsidRPr="00374332">
          <w:rPr>
            <w:rStyle w:val="Hyperlink"/>
          </w:rPr>
          <w:t>Fathi and Derakhshan (2019),</w:t>
        </w:r>
      </w:hyperlink>
      <w:r w:rsidR="003D2F1B" w:rsidRPr="00374332">
        <w:t xml:space="preserve"> </w:t>
      </w:r>
      <w:hyperlink w:anchor="BURI2020" w:history="1">
        <w:r w:rsidR="003D2F1B" w:rsidRPr="00374332">
          <w:rPr>
            <w:rStyle w:val="Hyperlink"/>
          </w:rPr>
          <w:t>Buric et al. (2020),</w:t>
        </w:r>
      </w:hyperlink>
      <w:r w:rsidR="003D2F1B" w:rsidRPr="00374332">
        <w:t xml:space="preserve"> </w:t>
      </w:r>
      <w:hyperlink w:anchor="AYOOBIYAN2021" w:history="1">
        <w:r w:rsidR="003D2F1B" w:rsidRPr="00374332">
          <w:rPr>
            <w:rStyle w:val="Hyperlink"/>
          </w:rPr>
          <w:t>Ayoobiyan and Rashidi (2021),</w:t>
        </w:r>
      </w:hyperlink>
      <w:r w:rsidR="003D2F1B" w:rsidRPr="00374332">
        <w:t xml:space="preserve"> </w:t>
      </w:r>
      <w:hyperlink w:anchor="CHANG2021" w:history="1">
        <w:r w:rsidR="003D2F1B" w:rsidRPr="00374332">
          <w:rPr>
            <w:rStyle w:val="Hyperlink"/>
          </w:rPr>
          <w:t>Chang and Taxer (2021),</w:t>
        </w:r>
      </w:hyperlink>
      <w:r w:rsidR="003D2F1B" w:rsidRPr="00374332">
        <w:t xml:space="preserve"> </w:t>
      </w:r>
      <w:hyperlink w:anchor="GREENIER2021" w:history="1">
        <w:r w:rsidR="003D2F1B" w:rsidRPr="00374332">
          <w:rPr>
            <w:rStyle w:val="Hyperlink"/>
          </w:rPr>
          <w:t>Greenier et al. (2021),</w:t>
        </w:r>
      </w:hyperlink>
      <w:r w:rsidR="003D2F1B" w:rsidRPr="00374332">
        <w:t xml:space="preserve"> </w:t>
      </w:r>
      <w:hyperlink w:anchor="BING2022" w:history="1">
        <w:r w:rsidR="003D2F1B" w:rsidRPr="00374332">
          <w:rPr>
            <w:rStyle w:val="Hyperlink"/>
          </w:rPr>
          <w:t>Bing et al. (2022)</w:t>
        </w:r>
      </w:hyperlink>
      <w:hyperlink w:anchor="BING2022" w:history="1">
        <w:r w:rsidR="003D2F1B" w:rsidRPr="00374332">
          <w:rPr>
            <w:rStyle w:val="Hyperlink"/>
          </w:rPr>
          <w:t>,</w:t>
        </w:r>
      </w:hyperlink>
      <w:r w:rsidR="003D2F1B" w:rsidRPr="00374332">
        <w:t xml:space="preserve"> </w:t>
      </w:r>
      <w:hyperlink w:anchor="LI2022" w:history="1">
        <w:r w:rsidR="003D2F1B" w:rsidRPr="004542CB">
          <w:rPr>
            <w:rStyle w:val="Hyperlink"/>
          </w:rPr>
          <w:t>Li and Li (2022)</w:t>
        </w:r>
      </w:hyperlink>
      <w:r w:rsidR="003D2F1B" w:rsidRPr="004542CB">
        <w:t>,</w:t>
      </w:r>
      <w:r w:rsidR="003D2F1B" w:rsidRPr="00374332">
        <w:t xml:space="preserve"> and </w:t>
      </w:r>
      <w:hyperlink w:anchor="LI2022" w:history="1">
        <w:r w:rsidR="003D2F1B" w:rsidRPr="00374332">
          <w:rPr>
            <w:rStyle w:val="Hyperlink"/>
          </w:rPr>
          <w:t>Li et al. (2022)</w:t>
        </w:r>
      </w:hyperlink>
      <w:r w:rsidR="003D2F1B" w:rsidRPr="00374332">
        <w:t>. The results of these studies highlighted the fact that language teachers’ TM was influenced by their affective factors such as their ER among the others.</w:t>
      </w:r>
    </w:p>
    <w:p w14:paraId="28B41971" w14:textId="4D947CAB" w:rsidR="003D2F1B" w:rsidRPr="00374332" w:rsidRDefault="00374332" w:rsidP="00374332">
      <w:pPr>
        <w:spacing w:line="276" w:lineRule="auto"/>
      </w:pPr>
      <w:r>
        <w:t xml:space="preserve">   </w:t>
      </w:r>
      <w:hyperlink w:anchor="DIEDRICH2014" w:history="1">
        <w:r w:rsidR="003D2F1B" w:rsidRPr="00374332">
          <w:rPr>
            <w:rStyle w:val="Hyperlink"/>
          </w:rPr>
          <w:t>Diedrich et al. (2014)</w:t>
        </w:r>
      </w:hyperlink>
      <w:r w:rsidR="003D2F1B" w:rsidRPr="00374332">
        <w:t xml:space="preserve"> pointed out that teachers’ ER enables them to determine the stress-inducing factors and teaching situations in their workplace and to take advantages of affective strategies to deal with them. As they noted, teachers’ ability to stifle these stressors may increase their TM and is likely to positively affect their self-esteem. In addition, </w:t>
      </w:r>
      <w:hyperlink w:anchor="XIAO2022" w:history="1">
        <w:r w:rsidR="003D2F1B" w:rsidRPr="00374332">
          <w:rPr>
            <w:rStyle w:val="Hyperlink"/>
          </w:rPr>
          <w:t>Xiao et al. (2022)</w:t>
        </w:r>
      </w:hyperlink>
      <w:r w:rsidR="003D2F1B" w:rsidRPr="00374332">
        <w:t xml:space="preserve"> noted that language teachers’ WE prompts them to take advantages of all of their cognitive resources and positive emotions in order to facilitate and expedite their learners’ target </w:t>
      </w:r>
      <w:r w:rsidR="003D2F1B" w:rsidRPr="00374332">
        <w:lastRenderedPageBreak/>
        <w:t>language acquisition.  As they explained, teachers’ use of these resources improves their teaching ability and their learners’ success and is likely to positively affect their TM in their settings.</w:t>
      </w:r>
    </w:p>
    <w:p w14:paraId="73CF6286" w14:textId="0E2EB22F" w:rsidR="003D2F1B" w:rsidRPr="00374332" w:rsidRDefault="00374332" w:rsidP="00261709">
      <w:pPr>
        <w:spacing w:line="276" w:lineRule="auto"/>
      </w:pPr>
      <w:r>
        <w:t xml:space="preserve">   </w:t>
      </w:r>
      <w:r w:rsidR="003D2F1B" w:rsidRPr="00374332">
        <w:t>Considering these discussions, it can be argued that in this study Iranian teachers’ ER significantly predicted their TM owing to the fact that it enabled them to deal with stressors in their classes using efficient stress-management strategies. Moreover, Iranian teachers’ WE was a main predictor of their TM due to the fact that it encouraged them to improve their learners’ language acquisition using their cognitive and emotional resources in their classes.</w:t>
      </w:r>
      <w:r w:rsidR="00261709">
        <w:t xml:space="preserve"> </w:t>
      </w:r>
      <w:r w:rsidR="003D2F1B" w:rsidRPr="00374332">
        <w:t xml:space="preserve">Finally, the third research question examined the significance of the difference between German and Iranian teachers’ TM. Based on the results, German teachers’ TM was significantly higher than that of Iranian teachers. In general, these results support the results of the studies that were conducted by </w:t>
      </w:r>
      <w:hyperlink w:anchor="STAPLETON2020" w:history="1">
        <w:r w:rsidR="003D2F1B" w:rsidRPr="00374332">
          <w:rPr>
            <w:rStyle w:val="Hyperlink"/>
          </w:rPr>
          <w:t>Stapleton et al. (2020),</w:t>
        </w:r>
      </w:hyperlink>
      <w:r w:rsidR="003D2F1B" w:rsidRPr="00374332">
        <w:t xml:space="preserve"> </w:t>
      </w:r>
      <w:hyperlink w:anchor="STAVRAKI2020" w:history="1">
        <w:r w:rsidR="003D2F1B" w:rsidRPr="00374332">
          <w:rPr>
            <w:rStyle w:val="Hyperlink"/>
          </w:rPr>
          <w:t>Stavrakiand Karagianni (2020),</w:t>
        </w:r>
      </w:hyperlink>
      <w:r w:rsidR="003D2F1B" w:rsidRPr="00374332">
        <w:t xml:space="preserve"> </w:t>
      </w:r>
      <w:hyperlink w:anchor="DENG2022" w:history="1">
        <w:r w:rsidR="003D2F1B" w:rsidRPr="00374332">
          <w:rPr>
            <w:rStyle w:val="Hyperlink"/>
          </w:rPr>
          <w:t>Deng et al. (2022),</w:t>
        </w:r>
      </w:hyperlink>
      <w:r w:rsidR="003D2F1B" w:rsidRPr="00374332">
        <w:t xml:space="preserve"> </w:t>
      </w:r>
      <w:hyperlink w:anchor="DEWAELE2022" w:history="1">
        <w:r w:rsidR="003D2F1B" w:rsidRPr="00374332">
          <w:rPr>
            <w:rStyle w:val="Hyperlink"/>
          </w:rPr>
          <w:t>Dewaele and Li (2022),</w:t>
        </w:r>
      </w:hyperlink>
      <w:r w:rsidR="003D2F1B" w:rsidRPr="00374332">
        <w:t xml:space="preserve"> and </w:t>
      </w:r>
      <w:hyperlink w:anchor="YANG2022" w:history="1">
        <w:r w:rsidR="003D2F1B" w:rsidRPr="00374332">
          <w:rPr>
            <w:rStyle w:val="Hyperlink"/>
          </w:rPr>
          <w:t>Yang et al. (2022).</w:t>
        </w:r>
      </w:hyperlink>
      <w:r w:rsidR="003D2F1B" w:rsidRPr="00374332">
        <w:t xml:space="preserve">        </w:t>
      </w:r>
    </w:p>
    <w:p w14:paraId="76039C5F" w14:textId="4C89709E" w:rsidR="003D2F1B" w:rsidRPr="00374332" w:rsidRDefault="00374332" w:rsidP="00374332">
      <w:pPr>
        <w:spacing w:line="276" w:lineRule="auto"/>
      </w:pPr>
      <w:r>
        <w:t xml:space="preserve">    </w:t>
      </w:r>
      <w:hyperlink w:anchor="BURI2020" w:history="1">
        <w:r w:rsidR="003D2F1B" w:rsidRPr="00374332">
          <w:rPr>
            <w:rStyle w:val="Hyperlink"/>
          </w:rPr>
          <w:t>Buric et al. (2020)</w:t>
        </w:r>
      </w:hyperlink>
      <w:r w:rsidR="003D2F1B" w:rsidRPr="00374332">
        <w:t xml:space="preserve"> pointed out that the language teachers who teach English in the contexts in which English is used in education and media (e.g. Germany) have higher TM levels compared to the other teachers. As they explained, this issue stems from the fact that these teachers believe that English knowledge has a major effect on their learners’ occupational opportunities and tend to teach English to satisfy their learners’ language learning needs. Likewise, </w:t>
      </w:r>
      <w:hyperlink w:anchor="BING2022" w:history="1">
        <w:r w:rsidR="003D2F1B" w:rsidRPr="00374332">
          <w:rPr>
            <w:rStyle w:val="Hyperlink"/>
          </w:rPr>
          <w:t>Bing et al. (2022)</w:t>
        </w:r>
      </w:hyperlink>
      <w:r w:rsidR="003D2F1B" w:rsidRPr="00374332">
        <w:t xml:space="preserve"> pointed out that in the contexts in which English does not play a vital role in education and media, teachers may be less motivated for teaching it since they consider English to be a time-consuming subject that does not influence their learners’ education and future occupational opportunities.  </w:t>
      </w:r>
    </w:p>
    <w:p w14:paraId="318290B3" w14:textId="49AEB2F7" w:rsidR="00374332" w:rsidRDefault="00374332" w:rsidP="00374332">
      <w:pPr>
        <w:spacing w:line="276" w:lineRule="auto"/>
      </w:pPr>
      <w:r>
        <w:t xml:space="preserve">   </w:t>
      </w:r>
      <w:r w:rsidR="003D2F1B" w:rsidRPr="00374332">
        <w:t xml:space="preserve">Based on these discussions, it can be argued that, in the present study, German teachers’ TM was significantly higher than Iranian teachers’ TM owing to the fact that they considered English to be a main factor in their learners’ educational and job-related opportunities.  </w:t>
      </w:r>
    </w:p>
    <w:p w14:paraId="4EFC4254" w14:textId="77777777" w:rsidR="00B76659" w:rsidRDefault="00B76659" w:rsidP="00374332">
      <w:pPr>
        <w:spacing w:line="276" w:lineRule="auto"/>
        <w:sectPr w:rsidR="00B76659" w:rsidSect="00E1619F">
          <w:type w:val="continuous"/>
          <w:pgSz w:w="11909" w:h="16834" w:code="9"/>
          <w:pgMar w:top="1282" w:right="1109" w:bottom="1253" w:left="1109" w:header="720" w:footer="720" w:gutter="0"/>
          <w:cols w:num="2" w:space="720"/>
          <w:docGrid w:linePitch="360"/>
        </w:sectPr>
      </w:pPr>
    </w:p>
    <w:p w14:paraId="4E147AD5" w14:textId="0853D3E3" w:rsidR="00B76659" w:rsidRDefault="00B76659" w:rsidP="00374332">
      <w:pPr>
        <w:spacing w:line="276" w:lineRule="auto"/>
      </w:pPr>
    </w:p>
    <w:p w14:paraId="5A15DC39" w14:textId="3B98A65A" w:rsidR="00B76659" w:rsidRPr="00B76659" w:rsidRDefault="00B76659" w:rsidP="00B76659">
      <w:pPr>
        <w:pStyle w:val="Caption"/>
        <w:keepNext/>
        <w:spacing w:after="120"/>
        <w:jc w:val="center"/>
        <w:rPr>
          <w:i w:val="0"/>
          <w:iCs w:val="0"/>
          <w:color w:val="auto"/>
          <w:sz w:val="16"/>
          <w:szCs w:val="16"/>
        </w:rPr>
      </w:pPr>
      <w:r w:rsidRPr="00B76659">
        <w:rPr>
          <w:b/>
          <w:bCs w:val="0"/>
          <w:i w:val="0"/>
          <w:iCs w:val="0"/>
          <w:color w:val="auto"/>
          <w:sz w:val="16"/>
          <w:szCs w:val="16"/>
        </w:rPr>
        <w:t xml:space="preserve">Table </w:t>
      </w:r>
      <w:r w:rsidRPr="00B76659">
        <w:rPr>
          <w:b/>
          <w:bCs w:val="0"/>
          <w:i w:val="0"/>
          <w:iCs w:val="0"/>
          <w:color w:val="auto"/>
          <w:sz w:val="16"/>
          <w:szCs w:val="16"/>
        </w:rPr>
        <w:fldChar w:fldCharType="begin"/>
      </w:r>
      <w:r w:rsidRPr="00B76659">
        <w:rPr>
          <w:b/>
          <w:bCs w:val="0"/>
          <w:i w:val="0"/>
          <w:iCs w:val="0"/>
          <w:color w:val="auto"/>
          <w:sz w:val="16"/>
          <w:szCs w:val="16"/>
        </w:rPr>
        <w:instrText xml:space="preserve"> SEQ Table \* ARABIC </w:instrText>
      </w:r>
      <w:r w:rsidRPr="00B76659">
        <w:rPr>
          <w:b/>
          <w:bCs w:val="0"/>
          <w:i w:val="0"/>
          <w:iCs w:val="0"/>
          <w:color w:val="auto"/>
          <w:sz w:val="16"/>
          <w:szCs w:val="16"/>
        </w:rPr>
        <w:fldChar w:fldCharType="separate"/>
      </w:r>
      <w:r w:rsidR="00A128F0">
        <w:rPr>
          <w:b/>
          <w:bCs w:val="0"/>
          <w:i w:val="0"/>
          <w:iCs w:val="0"/>
          <w:noProof/>
          <w:color w:val="auto"/>
          <w:sz w:val="16"/>
          <w:szCs w:val="16"/>
        </w:rPr>
        <w:t>1</w:t>
      </w:r>
      <w:r w:rsidRPr="00B76659">
        <w:rPr>
          <w:b/>
          <w:bCs w:val="0"/>
          <w:i w:val="0"/>
          <w:iCs w:val="0"/>
          <w:color w:val="auto"/>
          <w:sz w:val="16"/>
          <w:szCs w:val="16"/>
        </w:rPr>
        <w:fldChar w:fldCharType="end"/>
      </w:r>
      <w:r w:rsidRPr="00B76659">
        <w:rPr>
          <w:b/>
          <w:bCs w:val="0"/>
          <w:i w:val="0"/>
          <w:iCs w:val="0"/>
          <w:color w:val="auto"/>
          <w:sz w:val="16"/>
          <w:szCs w:val="16"/>
        </w:rPr>
        <w:t>.</w:t>
      </w:r>
      <w:r w:rsidRPr="00B76659">
        <w:rPr>
          <w:i w:val="0"/>
          <w:iCs w:val="0"/>
          <w:color w:val="auto"/>
          <w:sz w:val="16"/>
          <w:szCs w:val="16"/>
        </w:rPr>
        <w:t xml:space="preserve"> Regression Weights of German EFL Teachers’ TM Model</w:t>
      </w:r>
    </w:p>
    <w:tbl>
      <w:tblPr>
        <w:tblW w:w="6855" w:type="dxa"/>
        <w:jc w:val="center"/>
        <w:tblCellMar>
          <w:top w:w="15" w:type="dxa"/>
          <w:left w:w="15" w:type="dxa"/>
          <w:bottom w:w="15" w:type="dxa"/>
          <w:right w:w="15" w:type="dxa"/>
        </w:tblCellMar>
        <w:tblLook w:val="04A0" w:firstRow="1" w:lastRow="0" w:firstColumn="1" w:lastColumn="0" w:noHBand="0" w:noVBand="1"/>
      </w:tblPr>
      <w:tblGrid>
        <w:gridCol w:w="1625"/>
        <w:gridCol w:w="546"/>
        <w:gridCol w:w="756"/>
        <w:gridCol w:w="1254"/>
        <w:gridCol w:w="806"/>
        <w:gridCol w:w="1062"/>
        <w:gridCol w:w="806"/>
      </w:tblGrid>
      <w:tr w:rsidR="00B76659" w:rsidRPr="008C06FE" w14:paraId="0D45D089" w14:textId="77777777" w:rsidTr="00B76659">
        <w:trPr>
          <w:trHeight w:val="286"/>
          <w:tblHeader/>
          <w:jc w:val="center"/>
        </w:trPr>
        <w:tc>
          <w:tcPr>
            <w:tcW w:w="0" w:type="auto"/>
            <w:tcBorders>
              <w:top w:val="single" w:sz="4" w:space="0" w:color="auto"/>
              <w:bottom w:val="single" w:sz="4" w:space="0" w:color="auto"/>
            </w:tcBorders>
            <w:tcMar>
              <w:top w:w="15" w:type="dxa"/>
              <w:left w:w="140" w:type="dxa"/>
              <w:bottom w:w="15" w:type="dxa"/>
              <w:right w:w="140" w:type="dxa"/>
            </w:tcMar>
            <w:vAlign w:val="center"/>
            <w:hideMark/>
          </w:tcPr>
          <w:p w14:paraId="146547B0" w14:textId="77777777" w:rsidR="00B76659" w:rsidRPr="008C06FE" w:rsidRDefault="00B76659" w:rsidP="00B76659">
            <w:pPr>
              <w:jc w:val="left"/>
            </w:pPr>
            <w:bookmarkStart w:id="5" w:name="TABLE1"/>
            <w:r w:rsidRPr="008C06FE">
              <w:t>Correlations</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14:paraId="0C7BD6A0" w14:textId="77777777" w:rsidR="00B76659" w:rsidRPr="008C06FE" w:rsidRDefault="00B76659" w:rsidP="00B76659">
            <w:pPr>
              <w:jc w:val="left"/>
            </w:pP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14:paraId="05E567A2" w14:textId="77777777" w:rsidR="00B76659" w:rsidRPr="008C06FE" w:rsidRDefault="00B76659" w:rsidP="00B76659">
            <w:pPr>
              <w:jc w:val="left"/>
            </w:pP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14:paraId="4CC56B79" w14:textId="77777777" w:rsidR="00B76659" w:rsidRPr="008C06FE" w:rsidRDefault="00B76659" w:rsidP="00B76659">
            <w:pPr>
              <w:jc w:val="left"/>
            </w:pPr>
            <w:r w:rsidRPr="008C06FE">
              <w:t>Estimate</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14:paraId="4CB8CE95" w14:textId="77777777" w:rsidR="00B76659" w:rsidRPr="008C06FE" w:rsidRDefault="00B76659" w:rsidP="00B76659">
            <w:pPr>
              <w:jc w:val="left"/>
            </w:pPr>
            <w:r w:rsidRPr="008C06FE">
              <w:t>S.E.</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14:paraId="68DA0ADC" w14:textId="77777777" w:rsidR="00B76659" w:rsidRPr="008C06FE" w:rsidRDefault="00B76659" w:rsidP="00B76659">
            <w:pPr>
              <w:jc w:val="left"/>
            </w:pPr>
            <w:r w:rsidRPr="008C06FE">
              <w:t>C.R.</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14:paraId="0FDF86DF" w14:textId="77777777" w:rsidR="00B76659" w:rsidRPr="008C06FE" w:rsidRDefault="00B76659" w:rsidP="00B76659">
            <w:pPr>
              <w:jc w:val="left"/>
            </w:pPr>
            <w:r w:rsidRPr="008C06FE">
              <w:t>P</w:t>
            </w:r>
          </w:p>
        </w:tc>
      </w:tr>
      <w:tr w:rsidR="00B76659" w:rsidRPr="008C06FE" w14:paraId="09875046" w14:textId="77777777" w:rsidTr="00B76659">
        <w:trPr>
          <w:trHeight w:val="286"/>
          <w:jc w:val="center"/>
        </w:trPr>
        <w:tc>
          <w:tcPr>
            <w:tcW w:w="0" w:type="auto"/>
            <w:tcBorders>
              <w:top w:val="single" w:sz="4" w:space="0" w:color="auto"/>
              <w:bottom w:val="single" w:sz="4" w:space="0" w:color="FFFFFF" w:themeColor="background1"/>
            </w:tcBorders>
            <w:tcMar>
              <w:top w:w="15" w:type="dxa"/>
              <w:left w:w="57" w:type="dxa"/>
              <w:bottom w:w="15" w:type="dxa"/>
              <w:right w:w="57" w:type="dxa"/>
            </w:tcMar>
            <w:vAlign w:val="center"/>
            <w:hideMark/>
          </w:tcPr>
          <w:p w14:paraId="4A5DE219" w14:textId="77777777" w:rsidR="00B76659" w:rsidRPr="008C06FE" w:rsidRDefault="00B76659" w:rsidP="00B76659">
            <w:pPr>
              <w:jc w:val="left"/>
            </w:pPr>
            <w:r w:rsidRPr="008C06FE">
              <w:t>TM</w:t>
            </w:r>
          </w:p>
        </w:tc>
        <w:tc>
          <w:tcPr>
            <w:tcW w:w="0" w:type="auto"/>
            <w:tcBorders>
              <w:top w:val="single" w:sz="4" w:space="0" w:color="auto"/>
              <w:bottom w:val="single" w:sz="4" w:space="0" w:color="FFFFFF" w:themeColor="background1"/>
            </w:tcBorders>
            <w:noWrap/>
            <w:tcMar>
              <w:top w:w="15" w:type="dxa"/>
              <w:left w:w="57" w:type="dxa"/>
              <w:bottom w:w="15" w:type="dxa"/>
              <w:right w:w="57" w:type="dxa"/>
            </w:tcMar>
            <w:vAlign w:val="center"/>
            <w:hideMark/>
          </w:tcPr>
          <w:p w14:paraId="0EB7BA1E" w14:textId="77777777" w:rsidR="00B76659" w:rsidRPr="008C06FE" w:rsidRDefault="00B76659" w:rsidP="00B76659">
            <w:pPr>
              <w:jc w:val="left"/>
            </w:pPr>
            <w:r w:rsidRPr="008C06FE">
              <w:t>&lt;---</w:t>
            </w:r>
          </w:p>
        </w:tc>
        <w:tc>
          <w:tcPr>
            <w:tcW w:w="0" w:type="auto"/>
            <w:tcBorders>
              <w:top w:val="single" w:sz="4" w:space="0" w:color="auto"/>
              <w:bottom w:val="single" w:sz="4" w:space="0" w:color="FFFFFF" w:themeColor="background1"/>
            </w:tcBorders>
            <w:tcMar>
              <w:top w:w="15" w:type="dxa"/>
              <w:left w:w="140" w:type="dxa"/>
              <w:bottom w:w="15" w:type="dxa"/>
              <w:right w:w="140" w:type="dxa"/>
            </w:tcMar>
            <w:vAlign w:val="center"/>
            <w:hideMark/>
          </w:tcPr>
          <w:p w14:paraId="396BCCFE" w14:textId="77777777" w:rsidR="00B76659" w:rsidRPr="008C06FE" w:rsidRDefault="00B76659" w:rsidP="00B76659">
            <w:pPr>
              <w:jc w:val="left"/>
            </w:pPr>
            <w:r w:rsidRPr="008C06FE">
              <w:t>TE</w:t>
            </w:r>
          </w:p>
        </w:tc>
        <w:tc>
          <w:tcPr>
            <w:tcW w:w="0" w:type="auto"/>
            <w:tcBorders>
              <w:top w:val="single" w:sz="4" w:space="0" w:color="auto"/>
              <w:bottom w:val="single" w:sz="4" w:space="0" w:color="FFFFFF" w:themeColor="background1"/>
            </w:tcBorders>
            <w:tcMar>
              <w:top w:w="15" w:type="dxa"/>
              <w:left w:w="140" w:type="dxa"/>
              <w:bottom w:w="15" w:type="dxa"/>
              <w:right w:w="140" w:type="dxa"/>
            </w:tcMar>
            <w:vAlign w:val="center"/>
            <w:hideMark/>
          </w:tcPr>
          <w:p w14:paraId="77A3F9AC" w14:textId="77777777" w:rsidR="00B76659" w:rsidRPr="008C06FE" w:rsidRDefault="00B76659" w:rsidP="00B76659">
            <w:pPr>
              <w:jc w:val="left"/>
            </w:pPr>
            <w:r w:rsidRPr="008C06FE">
              <w:t>.104</w:t>
            </w:r>
          </w:p>
        </w:tc>
        <w:tc>
          <w:tcPr>
            <w:tcW w:w="0" w:type="auto"/>
            <w:tcBorders>
              <w:top w:val="single" w:sz="4" w:space="0" w:color="auto"/>
              <w:bottom w:val="single" w:sz="4" w:space="0" w:color="FFFFFF" w:themeColor="background1"/>
            </w:tcBorders>
            <w:tcMar>
              <w:top w:w="15" w:type="dxa"/>
              <w:left w:w="140" w:type="dxa"/>
              <w:bottom w:w="15" w:type="dxa"/>
              <w:right w:w="140" w:type="dxa"/>
            </w:tcMar>
            <w:vAlign w:val="center"/>
            <w:hideMark/>
          </w:tcPr>
          <w:p w14:paraId="68AE2DAC" w14:textId="77777777" w:rsidR="00B76659" w:rsidRPr="008C06FE" w:rsidRDefault="00B76659" w:rsidP="00B76659">
            <w:pPr>
              <w:jc w:val="left"/>
            </w:pPr>
            <w:r w:rsidRPr="008C06FE">
              <w:t>.005</w:t>
            </w:r>
          </w:p>
        </w:tc>
        <w:tc>
          <w:tcPr>
            <w:tcW w:w="0" w:type="auto"/>
            <w:tcBorders>
              <w:top w:val="single" w:sz="4" w:space="0" w:color="auto"/>
              <w:bottom w:val="single" w:sz="4" w:space="0" w:color="FFFFFF" w:themeColor="background1"/>
            </w:tcBorders>
            <w:tcMar>
              <w:top w:w="15" w:type="dxa"/>
              <w:left w:w="140" w:type="dxa"/>
              <w:bottom w:w="15" w:type="dxa"/>
              <w:right w:w="140" w:type="dxa"/>
            </w:tcMar>
            <w:vAlign w:val="center"/>
            <w:hideMark/>
          </w:tcPr>
          <w:p w14:paraId="7D1B18CA" w14:textId="77777777" w:rsidR="00B76659" w:rsidRPr="008C06FE" w:rsidRDefault="00B76659" w:rsidP="00B76659">
            <w:pPr>
              <w:jc w:val="left"/>
            </w:pPr>
            <w:r w:rsidRPr="008C06FE">
              <w:t>18.936</w:t>
            </w:r>
          </w:p>
        </w:tc>
        <w:tc>
          <w:tcPr>
            <w:tcW w:w="0" w:type="auto"/>
            <w:tcBorders>
              <w:top w:val="single" w:sz="4" w:space="0" w:color="auto"/>
              <w:bottom w:val="single" w:sz="4" w:space="0" w:color="FFFFFF" w:themeColor="background1"/>
            </w:tcBorders>
            <w:tcMar>
              <w:top w:w="15" w:type="dxa"/>
              <w:left w:w="140" w:type="dxa"/>
              <w:bottom w:w="15" w:type="dxa"/>
              <w:right w:w="140" w:type="dxa"/>
            </w:tcMar>
            <w:vAlign w:val="center"/>
            <w:hideMark/>
          </w:tcPr>
          <w:p w14:paraId="13930083" w14:textId="77777777" w:rsidR="00B76659" w:rsidRPr="008C06FE" w:rsidRDefault="00B76659" w:rsidP="00B76659">
            <w:pPr>
              <w:jc w:val="left"/>
            </w:pPr>
            <w:r w:rsidRPr="008C06FE">
              <w:t>.000</w:t>
            </w:r>
          </w:p>
        </w:tc>
      </w:tr>
      <w:tr w:rsidR="00B76659" w:rsidRPr="008C06FE" w14:paraId="0329FCD7" w14:textId="77777777" w:rsidTr="00B76659">
        <w:trPr>
          <w:trHeight w:val="297"/>
          <w:jc w:val="center"/>
        </w:trPr>
        <w:tc>
          <w:tcPr>
            <w:tcW w:w="0" w:type="auto"/>
            <w:tcBorders>
              <w:top w:val="single" w:sz="4" w:space="0" w:color="FFFFFF" w:themeColor="background1"/>
              <w:bottom w:val="single" w:sz="4" w:space="0" w:color="FFFFFF" w:themeColor="background1"/>
            </w:tcBorders>
            <w:tcMar>
              <w:top w:w="15" w:type="dxa"/>
              <w:left w:w="57" w:type="dxa"/>
              <w:bottom w:w="15" w:type="dxa"/>
              <w:right w:w="57" w:type="dxa"/>
            </w:tcMar>
            <w:vAlign w:val="center"/>
            <w:hideMark/>
          </w:tcPr>
          <w:p w14:paraId="271F4720" w14:textId="77777777" w:rsidR="00B76659" w:rsidRPr="008C06FE" w:rsidRDefault="00B76659" w:rsidP="00B76659">
            <w:pPr>
              <w:jc w:val="left"/>
            </w:pPr>
            <w:r w:rsidRPr="008C06FE">
              <w:t>TM</w:t>
            </w:r>
          </w:p>
        </w:tc>
        <w:tc>
          <w:tcPr>
            <w:tcW w:w="0" w:type="auto"/>
            <w:tcBorders>
              <w:top w:val="single" w:sz="4" w:space="0" w:color="FFFFFF" w:themeColor="background1"/>
              <w:bottom w:val="single" w:sz="4" w:space="0" w:color="FFFFFF" w:themeColor="background1"/>
            </w:tcBorders>
            <w:noWrap/>
            <w:tcMar>
              <w:top w:w="15" w:type="dxa"/>
              <w:left w:w="57" w:type="dxa"/>
              <w:bottom w:w="15" w:type="dxa"/>
              <w:right w:w="57" w:type="dxa"/>
            </w:tcMar>
            <w:vAlign w:val="center"/>
            <w:hideMark/>
          </w:tcPr>
          <w:p w14:paraId="75F86B37" w14:textId="77777777" w:rsidR="00B76659" w:rsidRPr="008C06FE" w:rsidRDefault="00B76659" w:rsidP="00B76659">
            <w:pPr>
              <w:jc w:val="left"/>
            </w:pPr>
            <w:r w:rsidRPr="008C06FE">
              <w:t>&lt;---</w:t>
            </w:r>
          </w:p>
        </w:tc>
        <w:tc>
          <w:tcPr>
            <w:tcW w:w="0" w:type="auto"/>
            <w:tcBorders>
              <w:top w:val="single" w:sz="4" w:space="0" w:color="FFFFFF" w:themeColor="background1"/>
              <w:bottom w:val="single" w:sz="4" w:space="0" w:color="FFFFFF" w:themeColor="background1"/>
            </w:tcBorders>
            <w:tcMar>
              <w:top w:w="15" w:type="dxa"/>
              <w:left w:w="140" w:type="dxa"/>
              <w:bottom w:w="15" w:type="dxa"/>
              <w:right w:w="140" w:type="dxa"/>
            </w:tcMar>
            <w:vAlign w:val="center"/>
            <w:hideMark/>
          </w:tcPr>
          <w:p w14:paraId="56361FF4" w14:textId="77777777" w:rsidR="00B76659" w:rsidRPr="008C06FE" w:rsidRDefault="00B76659" w:rsidP="00B76659">
            <w:pPr>
              <w:jc w:val="left"/>
            </w:pPr>
            <w:r w:rsidRPr="008C06FE">
              <w:t>ER</w:t>
            </w:r>
          </w:p>
        </w:tc>
        <w:tc>
          <w:tcPr>
            <w:tcW w:w="0" w:type="auto"/>
            <w:tcBorders>
              <w:top w:val="single" w:sz="4" w:space="0" w:color="FFFFFF" w:themeColor="background1"/>
              <w:bottom w:val="single" w:sz="4" w:space="0" w:color="FFFFFF" w:themeColor="background1"/>
            </w:tcBorders>
            <w:tcMar>
              <w:top w:w="15" w:type="dxa"/>
              <w:left w:w="140" w:type="dxa"/>
              <w:bottom w:w="15" w:type="dxa"/>
              <w:right w:w="140" w:type="dxa"/>
            </w:tcMar>
            <w:vAlign w:val="center"/>
            <w:hideMark/>
          </w:tcPr>
          <w:p w14:paraId="7574C0F5" w14:textId="77777777" w:rsidR="00B76659" w:rsidRPr="008C06FE" w:rsidRDefault="00B76659" w:rsidP="00B76659">
            <w:pPr>
              <w:jc w:val="left"/>
            </w:pPr>
            <w:r w:rsidRPr="008C06FE">
              <w:t>.004</w:t>
            </w:r>
          </w:p>
        </w:tc>
        <w:tc>
          <w:tcPr>
            <w:tcW w:w="0" w:type="auto"/>
            <w:tcBorders>
              <w:top w:val="single" w:sz="4" w:space="0" w:color="FFFFFF" w:themeColor="background1"/>
              <w:bottom w:val="single" w:sz="4" w:space="0" w:color="FFFFFF" w:themeColor="background1"/>
            </w:tcBorders>
            <w:tcMar>
              <w:top w:w="15" w:type="dxa"/>
              <w:left w:w="140" w:type="dxa"/>
              <w:bottom w:w="15" w:type="dxa"/>
              <w:right w:w="140" w:type="dxa"/>
            </w:tcMar>
            <w:vAlign w:val="center"/>
            <w:hideMark/>
          </w:tcPr>
          <w:p w14:paraId="1B1B77BC" w14:textId="77777777" w:rsidR="00B76659" w:rsidRPr="008C06FE" w:rsidRDefault="00B76659" w:rsidP="00B76659">
            <w:pPr>
              <w:jc w:val="left"/>
            </w:pPr>
            <w:r w:rsidRPr="008C06FE">
              <w:t>.015</w:t>
            </w:r>
          </w:p>
        </w:tc>
        <w:tc>
          <w:tcPr>
            <w:tcW w:w="0" w:type="auto"/>
            <w:tcBorders>
              <w:top w:val="single" w:sz="4" w:space="0" w:color="FFFFFF" w:themeColor="background1"/>
              <w:bottom w:val="single" w:sz="4" w:space="0" w:color="FFFFFF" w:themeColor="background1"/>
            </w:tcBorders>
            <w:tcMar>
              <w:top w:w="15" w:type="dxa"/>
              <w:left w:w="140" w:type="dxa"/>
              <w:bottom w:w="15" w:type="dxa"/>
              <w:right w:w="140" w:type="dxa"/>
            </w:tcMar>
            <w:vAlign w:val="center"/>
            <w:hideMark/>
          </w:tcPr>
          <w:p w14:paraId="07CD1D2D" w14:textId="77777777" w:rsidR="00B76659" w:rsidRPr="008C06FE" w:rsidRDefault="00B76659" w:rsidP="00B76659">
            <w:pPr>
              <w:jc w:val="left"/>
            </w:pPr>
            <w:r w:rsidRPr="008C06FE">
              <w:t>.288</w:t>
            </w:r>
          </w:p>
        </w:tc>
        <w:tc>
          <w:tcPr>
            <w:tcW w:w="0" w:type="auto"/>
            <w:tcBorders>
              <w:top w:val="single" w:sz="4" w:space="0" w:color="FFFFFF" w:themeColor="background1"/>
              <w:bottom w:val="single" w:sz="4" w:space="0" w:color="FFFFFF" w:themeColor="background1"/>
            </w:tcBorders>
            <w:tcMar>
              <w:top w:w="15" w:type="dxa"/>
              <w:left w:w="140" w:type="dxa"/>
              <w:bottom w:w="15" w:type="dxa"/>
              <w:right w:w="140" w:type="dxa"/>
            </w:tcMar>
            <w:vAlign w:val="center"/>
            <w:hideMark/>
          </w:tcPr>
          <w:p w14:paraId="62E4EB76" w14:textId="77777777" w:rsidR="00B76659" w:rsidRPr="008C06FE" w:rsidRDefault="00B76659" w:rsidP="00B76659">
            <w:pPr>
              <w:jc w:val="left"/>
            </w:pPr>
            <w:r w:rsidRPr="008C06FE">
              <w:t>.773</w:t>
            </w:r>
          </w:p>
        </w:tc>
      </w:tr>
      <w:tr w:rsidR="00B76659" w:rsidRPr="008C06FE" w14:paraId="68CAAB86" w14:textId="77777777" w:rsidTr="00B76659">
        <w:trPr>
          <w:trHeight w:val="273"/>
          <w:jc w:val="center"/>
        </w:trPr>
        <w:tc>
          <w:tcPr>
            <w:tcW w:w="0" w:type="auto"/>
            <w:tcBorders>
              <w:top w:val="single" w:sz="4" w:space="0" w:color="FFFFFF" w:themeColor="background1"/>
              <w:bottom w:val="single" w:sz="4" w:space="0" w:color="auto"/>
            </w:tcBorders>
            <w:tcMar>
              <w:top w:w="15" w:type="dxa"/>
              <w:left w:w="57" w:type="dxa"/>
              <w:bottom w:w="15" w:type="dxa"/>
              <w:right w:w="57" w:type="dxa"/>
            </w:tcMar>
            <w:vAlign w:val="center"/>
            <w:hideMark/>
          </w:tcPr>
          <w:p w14:paraId="7CD577F4" w14:textId="77777777" w:rsidR="00B76659" w:rsidRPr="008C06FE" w:rsidRDefault="00B76659" w:rsidP="00B76659">
            <w:pPr>
              <w:jc w:val="left"/>
            </w:pPr>
            <w:r w:rsidRPr="008C06FE">
              <w:t>TM</w:t>
            </w:r>
          </w:p>
        </w:tc>
        <w:tc>
          <w:tcPr>
            <w:tcW w:w="0" w:type="auto"/>
            <w:tcBorders>
              <w:top w:val="single" w:sz="4" w:space="0" w:color="FFFFFF" w:themeColor="background1"/>
              <w:bottom w:val="single" w:sz="4" w:space="0" w:color="auto"/>
            </w:tcBorders>
            <w:noWrap/>
            <w:tcMar>
              <w:top w:w="15" w:type="dxa"/>
              <w:left w:w="57" w:type="dxa"/>
              <w:bottom w:w="15" w:type="dxa"/>
              <w:right w:w="57" w:type="dxa"/>
            </w:tcMar>
            <w:vAlign w:val="center"/>
            <w:hideMark/>
          </w:tcPr>
          <w:p w14:paraId="2467C029" w14:textId="77777777" w:rsidR="00B76659" w:rsidRPr="008C06FE" w:rsidRDefault="00B76659" w:rsidP="00B76659">
            <w:pPr>
              <w:jc w:val="left"/>
            </w:pPr>
            <w:r w:rsidRPr="008C06FE">
              <w:t>&lt;---</w:t>
            </w:r>
          </w:p>
        </w:tc>
        <w:tc>
          <w:tcPr>
            <w:tcW w:w="0" w:type="auto"/>
            <w:tcBorders>
              <w:top w:val="single" w:sz="4" w:space="0" w:color="FFFFFF" w:themeColor="background1"/>
              <w:bottom w:val="single" w:sz="4" w:space="0" w:color="auto"/>
            </w:tcBorders>
            <w:tcMar>
              <w:top w:w="15" w:type="dxa"/>
              <w:left w:w="140" w:type="dxa"/>
              <w:bottom w:w="15" w:type="dxa"/>
              <w:right w:w="140" w:type="dxa"/>
            </w:tcMar>
            <w:vAlign w:val="center"/>
            <w:hideMark/>
          </w:tcPr>
          <w:p w14:paraId="3B439A52" w14:textId="77777777" w:rsidR="00B76659" w:rsidRPr="008C06FE" w:rsidRDefault="00B76659" w:rsidP="00B76659">
            <w:pPr>
              <w:jc w:val="left"/>
            </w:pPr>
            <w:r w:rsidRPr="008C06FE">
              <w:t>WE</w:t>
            </w:r>
          </w:p>
        </w:tc>
        <w:tc>
          <w:tcPr>
            <w:tcW w:w="0" w:type="auto"/>
            <w:tcBorders>
              <w:top w:val="single" w:sz="4" w:space="0" w:color="FFFFFF" w:themeColor="background1"/>
              <w:bottom w:val="single" w:sz="4" w:space="0" w:color="auto"/>
            </w:tcBorders>
            <w:tcMar>
              <w:top w:w="15" w:type="dxa"/>
              <w:left w:w="140" w:type="dxa"/>
              <w:bottom w:w="15" w:type="dxa"/>
              <w:right w:w="140" w:type="dxa"/>
            </w:tcMar>
            <w:vAlign w:val="center"/>
            <w:hideMark/>
          </w:tcPr>
          <w:p w14:paraId="2B8402D3" w14:textId="77777777" w:rsidR="00B76659" w:rsidRPr="008C06FE" w:rsidRDefault="00B76659" w:rsidP="00B76659">
            <w:pPr>
              <w:jc w:val="left"/>
            </w:pPr>
            <w:r w:rsidRPr="008C06FE">
              <w:t>.633</w:t>
            </w:r>
          </w:p>
        </w:tc>
        <w:tc>
          <w:tcPr>
            <w:tcW w:w="0" w:type="auto"/>
            <w:tcBorders>
              <w:top w:val="single" w:sz="4" w:space="0" w:color="FFFFFF" w:themeColor="background1"/>
              <w:bottom w:val="single" w:sz="4" w:space="0" w:color="auto"/>
            </w:tcBorders>
            <w:tcMar>
              <w:top w:w="15" w:type="dxa"/>
              <w:left w:w="140" w:type="dxa"/>
              <w:bottom w:w="15" w:type="dxa"/>
              <w:right w:w="140" w:type="dxa"/>
            </w:tcMar>
            <w:vAlign w:val="center"/>
            <w:hideMark/>
          </w:tcPr>
          <w:p w14:paraId="026D13A0" w14:textId="77777777" w:rsidR="00B76659" w:rsidRPr="008C06FE" w:rsidRDefault="00B76659" w:rsidP="00B76659">
            <w:pPr>
              <w:jc w:val="left"/>
            </w:pPr>
            <w:r w:rsidRPr="008C06FE">
              <w:t>.023</w:t>
            </w:r>
          </w:p>
        </w:tc>
        <w:tc>
          <w:tcPr>
            <w:tcW w:w="0" w:type="auto"/>
            <w:tcBorders>
              <w:top w:val="single" w:sz="4" w:space="0" w:color="FFFFFF" w:themeColor="background1"/>
              <w:bottom w:val="single" w:sz="4" w:space="0" w:color="auto"/>
            </w:tcBorders>
            <w:tcMar>
              <w:top w:w="15" w:type="dxa"/>
              <w:left w:w="140" w:type="dxa"/>
              <w:bottom w:w="15" w:type="dxa"/>
              <w:right w:w="140" w:type="dxa"/>
            </w:tcMar>
            <w:vAlign w:val="center"/>
            <w:hideMark/>
          </w:tcPr>
          <w:p w14:paraId="2D9692BB" w14:textId="77777777" w:rsidR="00B76659" w:rsidRPr="008C06FE" w:rsidRDefault="00B76659" w:rsidP="00B76659">
            <w:pPr>
              <w:jc w:val="left"/>
            </w:pPr>
            <w:r w:rsidRPr="008C06FE">
              <w:t>27.277</w:t>
            </w:r>
          </w:p>
        </w:tc>
        <w:tc>
          <w:tcPr>
            <w:tcW w:w="0" w:type="auto"/>
            <w:tcBorders>
              <w:top w:val="single" w:sz="4" w:space="0" w:color="FFFFFF" w:themeColor="background1"/>
              <w:bottom w:val="single" w:sz="4" w:space="0" w:color="auto"/>
            </w:tcBorders>
            <w:tcMar>
              <w:top w:w="15" w:type="dxa"/>
              <w:left w:w="140" w:type="dxa"/>
              <w:bottom w:w="15" w:type="dxa"/>
              <w:right w:w="140" w:type="dxa"/>
            </w:tcMar>
            <w:vAlign w:val="center"/>
            <w:hideMark/>
          </w:tcPr>
          <w:p w14:paraId="0487CCDB" w14:textId="77777777" w:rsidR="00B76659" w:rsidRPr="008C06FE" w:rsidRDefault="00B76659" w:rsidP="00B76659">
            <w:pPr>
              <w:jc w:val="left"/>
            </w:pPr>
            <w:r w:rsidRPr="008C06FE">
              <w:t>.000</w:t>
            </w:r>
          </w:p>
        </w:tc>
      </w:tr>
      <w:bookmarkEnd w:id="5"/>
    </w:tbl>
    <w:p w14:paraId="12F45B6A" w14:textId="781BE83A" w:rsidR="00B76659" w:rsidRDefault="00B76659" w:rsidP="00374332">
      <w:pPr>
        <w:spacing w:line="276" w:lineRule="auto"/>
      </w:pPr>
    </w:p>
    <w:p w14:paraId="62B49A26" w14:textId="0BB9FA51" w:rsidR="00B76659" w:rsidRPr="00B76659" w:rsidRDefault="00B76659" w:rsidP="00B76659">
      <w:pPr>
        <w:pStyle w:val="Caption"/>
        <w:keepNext/>
        <w:spacing w:after="120"/>
        <w:jc w:val="center"/>
        <w:rPr>
          <w:i w:val="0"/>
          <w:iCs w:val="0"/>
          <w:color w:val="auto"/>
          <w:sz w:val="16"/>
          <w:szCs w:val="16"/>
        </w:rPr>
      </w:pPr>
      <w:r w:rsidRPr="00B76659">
        <w:rPr>
          <w:b/>
          <w:bCs w:val="0"/>
          <w:i w:val="0"/>
          <w:iCs w:val="0"/>
          <w:color w:val="auto"/>
          <w:sz w:val="16"/>
          <w:szCs w:val="16"/>
        </w:rPr>
        <w:t xml:space="preserve">Table </w:t>
      </w:r>
      <w:r w:rsidRPr="00B76659">
        <w:rPr>
          <w:b/>
          <w:bCs w:val="0"/>
          <w:i w:val="0"/>
          <w:iCs w:val="0"/>
          <w:color w:val="auto"/>
          <w:sz w:val="16"/>
          <w:szCs w:val="16"/>
        </w:rPr>
        <w:fldChar w:fldCharType="begin"/>
      </w:r>
      <w:r w:rsidRPr="00B76659">
        <w:rPr>
          <w:b/>
          <w:bCs w:val="0"/>
          <w:i w:val="0"/>
          <w:iCs w:val="0"/>
          <w:color w:val="auto"/>
          <w:sz w:val="16"/>
          <w:szCs w:val="16"/>
        </w:rPr>
        <w:instrText xml:space="preserve"> SEQ Table \* ARABIC </w:instrText>
      </w:r>
      <w:r w:rsidRPr="00B76659">
        <w:rPr>
          <w:b/>
          <w:bCs w:val="0"/>
          <w:i w:val="0"/>
          <w:iCs w:val="0"/>
          <w:color w:val="auto"/>
          <w:sz w:val="16"/>
          <w:szCs w:val="16"/>
        </w:rPr>
        <w:fldChar w:fldCharType="separate"/>
      </w:r>
      <w:r w:rsidR="00A128F0">
        <w:rPr>
          <w:b/>
          <w:bCs w:val="0"/>
          <w:i w:val="0"/>
          <w:iCs w:val="0"/>
          <w:noProof/>
          <w:color w:val="auto"/>
          <w:sz w:val="16"/>
          <w:szCs w:val="16"/>
        </w:rPr>
        <w:t>2</w:t>
      </w:r>
      <w:r w:rsidRPr="00B76659">
        <w:rPr>
          <w:b/>
          <w:bCs w:val="0"/>
          <w:i w:val="0"/>
          <w:iCs w:val="0"/>
          <w:color w:val="auto"/>
          <w:sz w:val="16"/>
          <w:szCs w:val="16"/>
        </w:rPr>
        <w:fldChar w:fldCharType="end"/>
      </w:r>
      <w:r w:rsidRPr="00B76659">
        <w:rPr>
          <w:b/>
          <w:bCs w:val="0"/>
          <w:i w:val="0"/>
          <w:iCs w:val="0"/>
          <w:color w:val="auto"/>
          <w:sz w:val="16"/>
          <w:szCs w:val="16"/>
        </w:rPr>
        <w:t>.</w:t>
      </w:r>
      <w:r w:rsidRPr="00B76659">
        <w:rPr>
          <w:i w:val="0"/>
          <w:iCs w:val="0"/>
          <w:color w:val="auto"/>
          <w:sz w:val="16"/>
          <w:szCs w:val="16"/>
        </w:rPr>
        <w:t xml:space="preserve"> Standardized Estimates of German EFL Teachers’ TM</w:t>
      </w:r>
    </w:p>
    <w:tbl>
      <w:tblPr>
        <w:tblW w:w="0" w:type="auto"/>
        <w:jc w:val="center"/>
        <w:tblCellMar>
          <w:top w:w="15" w:type="dxa"/>
          <w:left w:w="15" w:type="dxa"/>
          <w:bottom w:w="15" w:type="dxa"/>
          <w:right w:w="15" w:type="dxa"/>
        </w:tblCellMar>
        <w:tblLook w:val="04A0" w:firstRow="1" w:lastRow="0" w:firstColumn="1" w:lastColumn="0" w:noHBand="0" w:noVBand="1"/>
      </w:tblPr>
      <w:tblGrid>
        <w:gridCol w:w="981"/>
        <w:gridCol w:w="1269"/>
        <w:gridCol w:w="998"/>
        <w:gridCol w:w="980"/>
      </w:tblGrid>
      <w:tr w:rsidR="00B76659" w:rsidRPr="008C06FE" w14:paraId="2F0E54D7" w14:textId="77777777" w:rsidTr="00B76659">
        <w:trPr>
          <w:trHeight w:val="290"/>
          <w:tblHeader/>
          <w:jc w:val="center"/>
        </w:trPr>
        <w:tc>
          <w:tcPr>
            <w:tcW w:w="981" w:type="dxa"/>
            <w:tcBorders>
              <w:top w:val="single" w:sz="4" w:space="0" w:color="auto"/>
              <w:bottom w:val="single" w:sz="4" w:space="0" w:color="auto"/>
            </w:tcBorders>
            <w:tcMar>
              <w:top w:w="15" w:type="dxa"/>
              <w:left w:w="140" w:type="dxa"/>
              <w:bottom w:w="15" w:type="dxa"/>
              <w:right w:w="140" w:type="dxa"/>
            </w:tcMar>
            <w:vAlign w:val="center"/>
            <w:hideMark/>
          </w:tcPr>
          <w:p w14:paraId="29469050" w14:textId="77777777" w:rsidR="00B76659" w:rsidRPr="008C06FE" w:rsidRDefault="00B76659" w:rsidP="00B76659">
            <w:bookmarkStart w:id="6" w:name="TABLE2"/>
          </w:p>
        </w:tc>
        <w:tc>
          <w:tcPr>
            <w:tcW w:w="1269" w:type="dxa"/>
            <w:tcBorders>
              <w:top w:val="single" w:sz="4" w:space="0" w:color="auto"/>
              <w:bottom w:val="single" w:sz="4" w:space="0" w:color="auto"/>
            </w:tcBorders>
            <w:tcMar>
              <w:top w:w="15" w:type="dxa"/>
              <w:left w:w="140" w:type="dxa"/>
              <w:bottom w:w="15" w:type="dxa"/>
              <w:right w:w="140" w:type="dxa"/>
            </w:tcMar>
            <w:vAlign w:val="center"/>
            <w:hideMark/>
          </w:tcPr>
          <w:p w14:paraId="131B14B2" w14:textId="77777777" w:rsidR="00B76659" w:rsidRPr="008C06FE" w:rsidRDefault="00B76659" w:rsidP="00B76659">
            <w:pPr>
              <w:jc w:val="center"/>
            </w:pPr>
            <w:r w:rsidRPr="008C06FE">
              <w:t>Correlations</w:t>
            </w:r>
          </w:p>
        </w:tc>
        <w:tc>
          <w:tcPr>
            <w:tcW w:w="998" w:type="dxa"/>
            <w:tcBorders>
              <w:top w:val="single" w:sz="4" w:space="0" w:color="auto"/>
              <w:bottom w:val="single" w:sz="4" w:space="0" w:color="auto"/>
            </w:tcBorders>
            <w:tcMar>
              <w:top w:w="15" w:type="dxa"/>
              <w:left w:w="140" w:type="dxa"/>
              <w:bottom w:w="15" w:type="dxa"/>
              <w:right w:w="140" w:type="dxa"/>
            </w:tcMar>
            <w:vAlign w:val="center"/>
            <w:hideMark/>
          </w:tcPr>
          <w:p w14:paraId="10F5BD05" w14:textId="77777777" w:rsidR="00B76659" w:rsidRPr="008C06FE" w:rsidRDefault="00B76659" w:rsidP="00B76659">
            <w:pPr>
              <w:jc w:val="center"/>
            </w:pP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14:paraId="3E611FD0" w14:textId="77777777" w:rsidR="00B76659" w:rsidRPr="008C06FE" w:rsidRDefault="00B76659" w:rsidP="00B76659">
            <w:pPr>
              <w:jc w:val="right"/>
            </w:pPr>
            <w:r w:rsidRPr="008C06FE">
              <w:t>Estimate</w:t>
            </w:r>
          </w:p>
        </w:tc>
      </w:tr>
      <w:tr w:rsidR="00B76659" w:rsidRPr="008C06FE" w14:paraId="3A1202D4" w14:textId="77777777" w:rsidTr="00B76659">
        <w:trPr>
          <w:trHeight w:val="290"/>
          <w:jc w:val="center"/>
        </w:trPr>
        <w:tc>
          <w:tcPr>
            <w:tcW w:w="981" w:type="dxa"/>
            <w:tcBorders>
              <w:top w:val="single" w:sz="4" w:space="0" w:color="auto"/>
              <w:bottom w:val="single" w:sz="4" w:space="0" w:color="FFFFFF" w:themeColor="background1"/>
            </w:tcBorders>
            <w:tcMar>
              <w:top w:w="15" w:type="dxa"/>
              <w:left w:w="57" w:type="dxa"/>
              <w:bottom w:w="15" w:type="dxa"/>
              <w:right w:w="57" w:type="dxa"/>
            </w:tcMar>
            <w:vAlign w:val="center"/>
            <w:hideMark/>
          </w:tcPr>
          <w:p w14:paraId="53D9939F" w14:textId="77777777" w:rsidR="00B76659" w:rsidRPr="008C06FE" w:rsidRDefault="00B76659" w:rsidP="00B76659">
            <w:r w:rsidRPr="008C06FE">
              <w:t>TM</w:t>
            </w:r>
          </w:p>
        </w:tc>
        <w:tc>
          <w:tcPr>
            <w:tcW w:w="0" w:type="auto"/>
            <w:tcBorders>
              <w:top w:val="single" w:sz="4" w:space="0" w:color="auto"/>
              <w:bottom w:val="single" w:sz="4" w:space="0" w:color="FFFFFF" w:themeColor="background1"/>
            </w:tcBorders>
            <w:noWrap/>
            <w:tcMar>
              <w:top w:w="15" w:type="dxa"/>
              <w:left w:w="57" w:type="dxa"/>
              <w:bottom w:w="15" w:type="dxa"/>
              <w:right w:w="57" w:type="dxa"/>
            </w:tcMar>
            <w:vAlign w:val="center"/>
            <w:hideMark/>
          </w:tcPr>
          <w:p w14:paraId="5D011A98" w14:textId="77777777" w:rsidR="00B76659" w:rsidRPr="008C06FE" w:rsidRDefault="00B76659" w:rsidP="00B76659">
            <w:pPr>
              <w:jc w:val="center"/>
            </w:pPr>
            <w:r w:rsidRPr="008C06FE">
              <w:t>&lt;---</w:t>
            </w:r>
          </w:p>
        </w:tc>
        <w:tc>
          <w:tcPr>
            <w:tcW w:w="0" w:type="auto"/>
            <w:tcBorders>
              <w:top w:val="single" w:sz="4" w:space="0" w:color="auto"/>
              <w:bottom w:val="single" w:sz="4" w:space="0" w:color="FFFFFF" w:themeColor="background1"/>
            </w:tcBorders>
            <w:tcMar>
              <w:top w:w="15" w:type="dxa"/>
              <w:left w:w="140" w:type="dxa"/>
              <w:bottom w:w="15" w:type="dxa"/>
              <w:right w:w="140" w:type="dxa"/>
            </w:tcMar>
            <w:vAlign w:val="center"/>
            <w:hideMark/>
          </w:tcPr>
          <w:p w14:paraId="0E661F46" w14:textId="77777777" w:rsidR="00B76659" w:rsidRPr="008C06FE" w:rsidRDefault="00B76659" w:rsidP="00B76659">
            <w:pPr>
              <w:jc w:val="center"/>
            </w:pPr>
            <w:r w:rsidRPr="008C06FE">
              <w:t>TE</w:t>
            </w:r>
          </w:p>
        </w:tc>
        <w:tc>
          <w:tcPr>
            <w:tcW w:w="0" w:type="auto"/>
            <w:tcBorders>
              <w:top w:val="single" w:sz="4" w:space="0" w:color="auto"/>
              <w:bottom w:val="single" w:sz="4" w:space="0" w:color="FFFFFF" w:themeColor="background1"/>
            </w:tcBorders>
            <w:tcMar>
              <w:top w:w="15" w:type="dxa"/>
              <w:left w:w="140" w:type="dxa"/>
              <w:bottom w:w="15" w:type="dxa"/>
              <w:right w:w="140" w:type="dxa"/>
            </w:tcMar>
            <w:vAlign w:val="center"/>
            <w:hideMark/>
          </w:tcPr>
          <w:p w14:paraId="7ECA830A" w14:textId="77777777" w:rsidR="00B76659" w:rsidRPr="008C06FE" w:rsidRDefault="00B76659" w:rsidP="00B76659">
            <w:pPr>
              <w:jc w:val="right"/>
            </w:pPr>
            <w:r w:rsidRPr="008C06FE">
              <w:t>.143</w:t>
            </w:r>
          </w:p>
        </w:tc>
      </w:tr>
      <w:tr w:rsidR="00B76659" w:rsidRPr="008C06FE" w14:paraId="41AF58F9" w14:textId="77777777" w:rsidTr="00B76659">
        <w:trPr>
          <w:trHeight w:val="303"/>
          <w:jc w:val="center"/>
        </w:trPr>
        <w:tc>
          <w:tcPr>
            <w:tcW w:w="981" w:type="dxa"/>
            <w:tcBorders>
              <w:top w:val="single" w:sz="4" w:space="0" w:color="FFFFFF" w:themeColor="background1"/>
              <w:bottom w:val="single" w:sz="4" w:space="0" w:color="FFFFFF" w:themeColor="background1"/>
            </w:tcBorders>
            <w:tcMar>
              <w:top w:w="15" w:type="dxa"/>
              <w:left w:w="57" w:type="dxa"/>
              <w:bottom w:w="15" w:type="dxa"/>
              <w:right w:w="57" w:type="dxa"/>
            </w:tcMar>
            <w:vAlign w:val="center"/>
            <w:hideMark/>
          </w:tcPr>
          <w:p w14:paraId="600363F1" w14:textId="77777777" w:rsidR="00B76659" w:rsidRPr="008C06FE" w:rsidRDefault="00B76659" w:rsidP="00B76659">
            <w:r w:rsidRPr="008C06FE">
              <w:t>TM</w:t>
            </w:r>
          </w:p>
        </w:tc>
        <w:tc>
          <w:tcPr>
            <w:tcW w:w="0" w:type="auto"/>
            <w:tcBorders>
              <w:top w:val="single" w:sz="4" w:space="0" w:color="FFFFFF" w:themeColor="background1"/>
              <w:bottom w:val="single" w:sz="4" w:space="0" w:color="FFFFFF" w:themeColor="background1"/>
            </w:tcBorders>
            <w:noWrap/>
            <w:tcMar>
              <w:top w:w="15" w:type="dxa"/>
              <w:left w:w="57" w:type="dxa"/>
              <w:bottom w:w="15" w:type="dxa"/>
              <w:right w:w="57" w:type="dxa"/>
            </w:tcMar>
            <w:vAlign w:val="center"/>
            <w:hideMark/>
          </w:tcPr>
          <w:p w14:paraId="7D1E0816" w14:textId="77777777" w:rsidR="00B76659" w:rsidRPr="008C06FE" w:rsidRDefault="00B76659" w:rsidP="00B76659">
            <w:pPr>
              <w:jc w:val="center"/>
            </w:pPr>
            <w:r w:rsidRPr="008C06FE">
              <w:t>&lt;---</w:t>
            </w:r>
          </w:p>
        </w:tc>
        <w:tc>
          <w:tcPr>
            <w:tcW w:w="0" w:type="auto"/>
            <w:tcBorders>
              <w:top w:val="single" w:sz="4" w:space="0" w:color="FFFFFF" w:themeColor="background1"/>
              <w:bottom w:val="single" w:sz="4" w:space="0" w:color="FFFFFF" w:themeColor="background1"/>
            </w:tcBorders>
            <w:tcMar>
              <w:top w:w="15" w:type="dxa"/>
              <w:left w:w="140" w:type="dxa"/>
              <w:bottom w:w="15" w:type="dxa"/>
              <w:right w:w="140" w:type="dxa"/>
            </w:tcMar>
            <w:vAlign w:val="center"/>
            <w:hideMark/>
          </w:tcPr>
          <w:p w14:paraId="042937A5" w14:textId="77777777" w:rsidR="00B76659" w:rsidRPr="008C06FE" w:rsidRDefault="00B76659" w:rsidP="00B76659">
            <w:pPr>
              <w:jc w:val="center"/>
            </w:pPr>
            <w:r w:rsidRPr="008C06FE">
              <w:t>ER</w:t>
            </w:r>
          </w:p>
        </w:tc>
        <w:tc>
          <w:tcPr>
            <w:tcW w:w="0" w:type="auto"/>
            <w:tcBorders>
              <w:top w:val="single" w:sz="4" w:space="0" w:color="FFFFFF" w:themeColor="background1"/>
              <w:bottom w:val="single" w:sz="4" w:space="0" w:color="FFFFFF" w:themeColor="background1"/>
            </w:tcBorders>
            <w:tcMar>
              <w:top w:w="15" w:type="dxa"/>
              <w:left w:w="140" w:type="dxa"/>
              <w:bottom w:w="15" w:type="dxa"/>
              <w:right w:w="140" w:type="dxa"/>
            </w:tcMar>
            <w:vAlign w:val="center"/>
            <w:hideMark/>
          </w:tcPr>
          <w:p w14:paraId="3C486DF6" w14:textId="77777777" w:rsidR="00B76659" w:rsidRPr="008C06FE" w:rsidRDefault="00B76659" w:rsidP="00B76659">
            <w:pPr>
              <w:jc w:val="right"/>
            </w:pPr>
            <w:r w:rsidRPr="008C06FE">
              <w:t>.004</w:t>
            </w:r>
          </w:p>
        </w:tc>
      </w:tr>
      <w:tr w:rsidR="00B76659" w:rsidRPr="008C06FE" w14:paraId="57DF89E8" w14:textId="77777777" w:rsidTr="00B76659">
        <w:trPr>
          <w:trHeight w:val="277"/>
          <w:jc w:val="center"/>
        </w:trPr>
        <w:tc>
          <w:tcPr>
            <w:tcW w:w="981" w:type="dxa"/>
            <w:tcBorders>
              <w:top w:val="single" w:sz="4" w:space="0" w:color="FFFFFF" w:themeColor="background1"/>
              <w:bottom w:val="single" w:sz="4" w:space="0" w:color="auto"/>
            </w:tcBorders>
            <w:tcMar>
              <w:top w:w="15" w:type="dxa"/>
              <w:left w:w="57" w:type="dxa"/>
              <w:bottom w:w="15" w:type="dxa"/>
              <w:right w:w="57" w:type="dxa"/>
            </w:tcMar>
            <w:vAlign w:val="center"/>
            <w:hideMark/>
          </w:tcPr>
          <w:p w14:paraId="7EF523CB" w14:textId="77777777" w:rsidR="00B76659" w:rsidRPr="008C06FE" w:rsidRDefault="00B76659" w:rsidP="00B76659">
            <w:r w:rsidRPr="008C06FE">
              <w:t>TM</w:t>
            </w:r>
          </w:p>
        </w:tc>
        <w:tc>
          <w:tcPr>
            <w:tcW w:w="0" w:type="auto"/>
            <w:tcBorders>
              <w:top w:val="single" w:sz="4" w:space="0" w:color="FFFFFF" w:themeColor="background1"/>
              <w:bottom w:val="single" w:sz="4" w:space="0" w:color="auto"/>
            </w:tcBorders>
            <w:noWrap/>
            <w:tcMar>
              <w:top w:w="15" w:type="dxa"/>
              <w:left w:w="57" w:type="dxa"/>
              <w:bottom w:w="15" w:type="dxa"/>
              <w:right w:w="57" w:type="dxa"/>
            </w:tcMar>
            <w:vAlign w:val="center"/>
            <w:hideMark/>
          </w:tcPr>
          <w:p w14:paraId="1D6B0CB2" w14:textId="77777777" w:rsidR="00B76659" w:rsidRPr="008C06FE" w:rsidRDefault="00B76659" w:rsidP="00B76659">
            <w:pPr>
              <w:jc w:val="center"/>
            </w:pPr>
            <w:r w:rsidRPr="008C06FE">
              <w:t>&lt;---</w:t>
            </w:r>
          </w:p>
        </w:tc>
        <w:tc>
          <w:tcPr>
            <w:tcW w:w="0" w:type="auto"/>
            <w:tcBorders>
              <w:top w:val="single" w:sz="4" w:space="0" w:color="FFFFFF" w:themeColor="background1"/>
              <w:bottom w:val="single" w:sz="4" w:space="0" w:color="auto"/>
            </w:tcBorders>
            <w:tcMar>
              <w:top w:w="15" w:type="dxa"/>
              <w:left w:w="140" w:type="dxa"/>
              <w:bottom w:w="15" w:type="dxa"/>
              <w:right w:w="140" w:type="dxa"/>
            </w:tcMar>
            <w:vAlign w:val="center"/>
            <w:hideMark/>
          </w:tcPr>
          <w:p w14:paraId="2ED2DC83" w14:textId="77777777" w:rsidR="00B76659" w:rsidRPr="008C06FE" w:rsidRDefault="00B76659" w:rsidP="00B76659">
            <w:pPr>
              <w:jc w:val="center"/>
            </w:pPr>
            <w:r w:rsidRPr="008C06FE">
              <w:t>WE</w:t>
            </w:r>
          </w:p>
        </w:tc>
        <w:tc>
          <w:tcPr>
            <w:tcW w:w="0" w:type="auto"/>
            <w:tcBorders>
              <w:top w:val="single" w:sz="4" w:space="0" w:color="FFFFFF" w:themeColor="background1"/>
              <w:bottom w:val="single" w:sz="4" w:space="0" w:color="auto"/>
            </w:tcBorders>
            <w:tcMar>
              <w:top w:w="15" w:type="dxa"/>
              <w:left w:w="140" w:type="dxa"/>
              <w:bottom w:w="15" w:type="dxa"/>
              <w:right w:w="140" w:type="dxa"/>
            </w:tcMar>
            <w:vAlign w:val="center"/>
            <w:hideMark/>
          </w:tcPr>
          <w:p w14:paraId="6A624AE1" w14:textId="77777777" w:rsidR="00B76659" w:rsidRPr="008C06FE" w:rsidRDefault="00B76659" w:rsidP="00B76659">
            <w:pPr>
              <w:jc w:val="right"/>
            </w:pPr>
            <w:r w:rsidRPr="008C06FE">
              <w:t>.991</w:t>
            </w:r>
          </w:p>
        </w:tc>
      </w:tr>
      <w:bookmarkEnd w:id="6"/>
    </w:tbl>
    <w:p w14:paraId="61A8E02B" w14:textId="7220D17A" w:rsidR="00B76659" w:rsidRDefault="00B76659" w:rsidP="00374332">
      <w:pPr>
        <w:spacing w:line="276" w:lineRule="auto"/>
      </w:pPr>
    </w:p>
    <w:p w14:paraId="5090A231" w14:textId="3A0AAD7F" w:rsidR="00B76659" w:rsidRPr="00B76659" w:rsidRDefault="00B76659" w:rsidP="00B76659">
      <w:pPr>
        <w:pStyle w:val="Caption"/>
        <w:keepNext/>
        <w:spacing w:after="120"/>
        <w:jc w:val="center"/>
        <w:rPr>
          <w:i w:val="0"/>
          <w:iCs w:val="0"/>
          <w:color w:val="auto"/>
          <w:sz w:val="16"/>
          <w:szCs w:val="16"/>
        </w:rPr>
      </w:pPr>
      <w:r w:rsidRPr="00B76659">
        <w:rPr>
          <w:b/>
          <w:bCs w:val="0"/>
          <w:i w:val="0"/>
          <w:iCs w:val="0"/>
          <w:color w:val="auto"/>
          <w:sz w:val="16"/>
          <w:szCs w:val="16"/>
        </w:rPr>
        <w:t xml:space="preserve">Table </w:t>
      </w:r>
      <w:r w:rsidRPr="00B76659">
        <w:rPr>
          <w:b/>
          <w:bCs w:val="0"/>
          <w:i w:val="0"/>
          <w:iCs w:val="0"/>
          <w:color w:val="auto"/>
          <w:sz w:val="16"/>
          <w:szCs w:val="16"/>
        </w:rPr>
        <w:fldChar w:fldCharType="begin"/>
      </w:r>
      <w:r w:rsidRPr="00B76659">
        <w:rPr>
          <w:b/>
          <w:bCs w:val="0"/>
          <w:i w:val="0"/>
          <w:iCs w:val="0"/>
          <w:color w:val="auto"/>
          <w:sz w:val="16"/>
          <w:szCs w:val="16"/>
        </w:rPr>
        <w:instrText xml:space="preserve"> SEQ Table \* ARABIC </w:instrText>
      </w:r>
      <w:r w:rsidRPr="00B76659">
        <w:rPr>
          <w:b/>
          <w:bCs w:val="0"/>
          <w:i w:val="0"/>
          <w:iCs w:val="0"/>
          <w:color w:val="auto"/>
          <w:sz w:val="16"/>
          <w:szCs w:val="16"/>
        </w:rPr>
        <w:fldChar w:fldCharType="separate"/>
      </w:r>
      <w:r w:rsidR="00A128F0">
        <w:rPr>
          <w:b/>
          <w:bCs w:val="0"/>
          <w:i w:val="0"/>
          <w:iCs w:val="0"/>
          <w:noProof/>
          <w:color w:val="auto"/>
          <w:sz w:val="16"/>
          <w:szCs w:val="16"/>
        </w:rPr>
        <w:t>3</w:t>
      </w:r>
      <w:r w:rsidRPr="00B76659">
        <w:rPr>
          <w:b/>
          <w:bCs w:val="0"/>
          <w:i w:val="0"/>
          <w:iCs w:val="0"/>
          <w:color w:val="auto"/>
          <w:sz w:val="16"/>
          <w:szCs w:val="16"/>
        </w:rPr>
        <w:fldChar w:fldCharType="end"/>
      </w:r>
      <w:r w:rsidRPr="00B76659">
        <w:rPr>
          <w:b/>
          <w:bCs w:val="0"/>
          <w:i w:val="0"/>
          <w:iCs w:val="0"/>
          <w:color w:val="auto"/>
          <w:sz w:val="16"/>
          <w:szCs w:val="16"/>
        </w:rPr>
        <w:t>.</w:t>
      </w:r>
      <w:r w:rsidRPr="00B76659">
        <w:rPr>
          <w:i w:val="0"/>
          <w:iCs w:val="0"/>
          <w:color w:val="auto"/>
          <w:sz w:val="16"/>
          <w:szCs w:val="16"/>
        </w:rPr>
        <w:t xml:space="preserve"> Model Fit Summary of German EFL Teachers’ TM</w:t>
      </w:r>
    </w:p>
    <w:tbl>
      <w:tblPr>
        <w:tblW w:w="6820" w:type="dxa"/>
        <w:jc w:val="center"/>
        <w:tblCellMar>
          <w:top w:w="15" w:type="dxa"/>
          <w:left w:w="15" w:type="dxa"/>
          <w:bottom w:w="15" w:type="dxa"/>
          <w:right w:w="15" w:type="dxa"/>
        </w:tblCellMar>
        <w:tblLook w:val="04A0" w:firstRow="1" w:lastRow="0" w:firstColumn="1" w:lastColumn="0" w:noHBand="0" w:noVBand="1"/>
      </w:tblPr>
      <w:tblGrid>
        <w:gridCol w:w="1788"/>
        <w:gridCol w:w="1018"/>
        <w:gridCol w:w="1163"/>
        <w:gridCol w:w="670"/>
        <w:gridCol w:w="788"/>
        <w:gridCol w:w="1393"/>
      </w:tblGrid>
      <w:tr w:rsidR="00B76659" w:rsidRPr="008C06FE" w14:paraId="1ADC5EBF" w14:textId="77777777" w:rsidTr="00B76659">
        <w:trPr>
          <w:trHeight w:val="216"/>
          <w:tblHeader/>
          <w:jc w:val="center"/>
        </w:trPr>
        <w:tc>
          <w:tcPr>
            <w:tcW w:w="0" w:type="auto"/>
            <w:tcBorders>
              <w:top w:val="single" w:sz="4" w:space="0" w:color="auto"/>
              <w:bottom w:val="single" w:sz="4" w:space="0" w:color="auto"/>
            </w:tcBorders>
            <w:tcMar>
              <w:top w:w="15" w:type="dxa"/>
              <w:left w:w="140" w:type="dxa"/>
              <w:bottom w:w="15" w:type="dxa"/>
              <w:right w:w="140" w:type="dxa"/>
            </w:tcMar>
            <w:vAlign w:val="center"/>
            <w:hideMark/>
          </w:tcPr>
          <w:p w14:paraId="1143813A" w14:textId="77777777" w:rsidR="00B76659" w:rsidRPr="008C06FE" w:rsidRDefault="00B76659" w:rsidP="00B76659">
            <w:pPr>
              <w:jc w:val="left"/>
            </w:pPr>
            <w:bookmarkStart w:id="7" w:name="TABLE3"/>
            <w:r w:rsidRPr="008C06FE">
              <w:t>Model</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14:paraId="65C14FDB" w14:textId="77777777" w:rsidR="00B76659" w:rsidRPr="008C06FE" w:rsidRDefault="00B76659" w:rsidP="00B76659">
            <w:pPr>
              <w:jc w:val="left"/>
            </w:pPr>
            <w:r w:rsidRPr="008C06FE">
              <w:t>NPAR</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14:paraId="442170D4" w14:textId="77777777" w:rsidR="00B76659" w:rsidRPr="008C06FE" w:rsidRDefault="00B76659" w:rsidP="00B76659">
            <w:pPr>
              <w:jc w:val="left"/>
            </w:pPr>
            <w:r w:rsidRPr="008C06FE">
              <w:t>CMIN</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14:paraId="51F260E9" w14:textId="77777777" w:rsidR="00B76659" w:rsidRPr="008C06FE" w:rsidRDefault="00B76659" w:rsidP="00B76659">
            <w:pPr>
              <w:jc w:val="left"/>
            </w:pPr>
            <w:r w:rsidRPr="008C06FE">
              <w:t>DF</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14:paraId="5A7CBA10" w14:textId="77777777" w:rsidR="00B76659" w:rsidRPr="008C06FE" w:rsidRDefault="00B76659" w:rsidP="00B76659">
            <w:pPr>
              <w:jc w:val="left"/>
            </w:pPr>
            <w:r w:rsidRPr="008C06FE">
              <w:t>P</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14:paraId="7DFAD578" w14:textId="77777777" w:rsidR="00B76659" w:rsidRPr="008C06FE" w:rsidRDefault="00B76659" w:rsidP="00B76659">
            <w:pPr>
              <w:jc w:val="left"/>
            </w:pPr>
            <w:r w:rsidRPr="008C06FE">
              <w:t>CMIN/DF</w:t>
            </w:r>
          </w:p>
        </w:tc>
      </w:tr>
      <w:tr w:rsidR="00B76659" w:rsidRPr="008C06FE" w14:paraId="3B530E4C" w14:textId="77777777" w:rsidTr="00B76659">
        <w:trPr>
          <w:trHeight w:val="216"/>
          <w:jc w:val="center"/>
        </w:trPr>
        <w:tc>
          <w:tcPr>
            <w:tcW w:w="0" w:type="auto"/>
            <w:tcBorders>
              <w:top w:val="single" w:sz="4" w:space="0" w:color="auto"/>
              <w:bottom w:val="single" w:sz="4" w:space="0" w:color="auto"/>
            </w:tcBorders>
            <w:tcMar>
              <w:top w:w="15" w:type="dxa"/>
              <w:left w:w="140" w:type="dxa"/>
              <w:bottom w:w="15" w:type="dxa"/>
              <w:right w:w="140" w:type="dxa"/>
            </w:tcMar>
            <w:vAlign w:val="center"/>
            <w:hideMark/>
          </w:tcPr>
          <w:p w14:paraId="132B8C7F" w14:textId="77777777" w:rsidR="00B76659" w:rsidRPr="008C06FE" w:rsidRDefault="00B76659" w:rsidP="00B76659">
            <w:pPr>
              <w:jc w:val="left"/>
            </w:pPr>
            <w:r w:rsidRPr="008C06FE">
              <w:t>Default model</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14:paraId="08B9A614" w14:textId="77777777" w:rsidR="00B76659" w:rsidRPr="008C06FE" w:rsidRDefault="00B76659" w:rsidP="00B76659">
            <w:pPr>
              <w:jc w:val="left"/>
            </w:pPr>
            <w:r w:rsidRPr="008C06FE">
              <w:t>39</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14:paraId="5524FABF" w14:textId="77777777" w:rsidR="00B76659" w:rsidRPr="008C06FE" w:rsidRDefault="00B76659" w:rsidP="00B76659">
            <w:pPr>
              <w:jc w:val="left"/>
            </w:pPr>
            <w:r w:rsidRPr="008C06FE">
              <w:t>196.335</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14:paraId="06B4550C" w14:textId="77777777" w:rsidR="00B76659" w:rsidRPr="008C06FE" w:rsidRDefault="00B76659" w:rsidP="00B76659">
            <w:pPr>
              <w:jc w:val="left"/>
            </w:pPr>
            <w:r w:rsidRPr="008C06FE">
              <w:t>51</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14:paraId="4F2F50CD" w14:textId="77777777" w:rsidR="00B76659" w:rsidRPr="008C06FE" w:rsidRDefault="00B76659" w:rsidP="00B76659">
            <w:pPr>
              <w:jc w:val="left"/>
            </w:pPr>
            <w:r w:rsidRPr="008C06FE">
              <w:t>.346</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14:paraId="653B9F16" w14:textId="77777777" w:rsidR="00B76659" w:rsidRPr="008C06FE" w:rsidRDefault="00B76659" w:rsidP="00B76659">
            <w:pPr>
              <w:jc w:val="left"/>
            </w:pPr>
            <w:r w:rsidRPr="008C06FE">
              <w:t>2.850</w:t>
            </w:r>
          </w:p>
        </w:tc>
      </w:tr>
      <w:bookmarkEnd w:id="7"/>
    </w:tbl>
    <w:p w14:paraId="70112915" w14:textId="762455DA" w:rsidR="00B76659" w:rsidRDefault="00B76659" w:rsidP="00374332">
      <w:pPr>
        <w:spacing w:line="276" w:lineRule="auto"/>
      </w:pPr>
    </w:p>
    <w:p w14:paraId="548CAA16" w14:textId="3EBBE648" w:rsidR="00B76659" w:rsidRPr="00B76659" w:rsidRDefault="00B76659" w:rsidP="00B76659">
      <w:pPr>
        <w:pStyle w:val="Caption"/>
        <w:keepNext/>
        <w:spacing w:after="120"/>
        <w:jc w:val="center"/>
        <w:rPr>
          <w:i w:val="0"/>
          <w:iCs w:val="0"/>
          <w:color w:val="auto"/>
          <w:sz w:val="16"/>
          <w:szCs w:val="16"/>
        </w:rPr>
      </w:pPr>
      <w:r w:rsidRPr="00B76659">
        <w:rPr>
          <w:b/>
          <w:bCs w:val="0"/>
          <w:i w:val="0"/>
          <w:iCs w:val="0"/>
          <w:color w:val="auto"/>
          <w:sz w:val="16"/>
          <w:szCs w:val="16"/>
        </w:rPr>
        <w:t xml:space="preserve">Table </w:t>
      </w:r>
      <w:r w:rsidRPr="00B76659">
        <w:rPr>
          <w:b/>
          <w:bCs w:val="0"/>
          <w:i w:val="0"/>
          <w:iCs w:val="0"/>
          <w:color w:val="auto"/>
          <w:sz w:val="16"/>
          <w:szCs w:val="16"/>
        </w:rPr>
        <w:fldChar w:fldCharType="begin"/>
      </w:r>
      <w:r w:rsidRPr="00B76659">
        <w:rPr>
          <w:b/>
          <w:bCs w:val="0"/>
          <w:i w:val="0"/>
          <w:iCs w:val="0"/>
          <w:color w:val="auto"/>
          <w:sz w:val="16"/>
          <w:szCs w:val="16"/>
        </w:rPr>
        <w:instrText xml:space="preserve"> SEQ Table \* ARABIC </w:instrText>
      </w:r>
      <w:r w:rsidRPr="00B76659">
        <w:rPr>
          <w:b/>
          <w:bCs w:val="0"/>
          <w:i w:val="0"/>
          <w:iCs w:val="0"/>
          <w:color w:val="auto"/>
          <w:sz w:val="16"/>
          <w:szCs w:val="16"/>
        </w:rPr>
        <w:fldChar w:fldCharType="separate"/>
      </w:r>
      <w:r w:rsidR="00A128F0">
        <w:rPr>
          <w:b/>
          <w:bCs w:val="0"/>
          <w:i w:val="0"/>
          <w:iCs w:val="0"/>
          <w:noProof/>
          <w:color w:val="auto"/>
          <w:sz w:val="16"/>
          <w:szCs w:val="16"/>
        </w:rPr>
        <w:t>4</w:t>
      </w:r>
      <w:r w:rsidRPr="00B76659">
        <w:rPr>
          <w:b/>
          <w:bCs w:val="0"/>
          <w:i w:val="0"/>
          <w:iCs w:val="0"/>
          <w:color w:val="auto"/>
          <w:sz w:val="16"/>
          <w:szCs w:val="16"/>
        </w:rPr>
        <w:fldChar w:fldCharType="end"/>
      </w:r>
      <w:r w:rsidRPr="00B76659">
        <w:rPr>
          <w:b/>
          <w:bCs w:val="0"/>
          <w:i w:val="0"/>
          <w:iCs w:val="0"/>
          <w:color w:val="auto"/>
          <w:sz w:val="16"/>
          <w:szCs w:val="16"/>
        </w:rPr>
        <w:t>.</w:t>
      </w:r>
      <w:r w:rsidRPr="00B76659">
        <w:rPr>
          <w:i w:val="0"/>
          <w:iCs w:val="0"/>
          <w:color w:val="auto"/>
          <w:sz w:val="16"/>
          <w:szCs w:val="16"/>
        </w:rPr>
        <w:t xml:space="preserve"> Baseline Comparisons of German EFL Teachers’ TM</w:t>
      </w:r>
    </w:p>
    <w:tbl>
      <w:tblPr>
        <w:tblW w:w="4316" w:type="dxa"/>
        <w:jc w:val="center"/>
        <w:tblCellMar>
          <w:top w:w="15" w:type="dxa"/>
          <w:left w:w="15" w:type="dxa"/>
          <w:bottom w:w="15" w:type="dxa"/>
          <w:right w:w="15" w:type="dxa"/>
        </w:tblCellMar>
        <w:tblLook w:val="04A0" w:firstRow="1" w:lastRow="0" w:firstColumn="1" w:lastColumn="0" w:noHBand="0" w:noVBand="1"/>
      </w:tblPr>
      <w:tblGrid>
        <w:gridCol w:w="1701"/>
        <w:gridCol w:w="1134"/>
        <w:gridCol w:w="851"/>
        <w:gridCol w:w="630"/>
      </w:tblGrid>
      <w:tr w:rsidR="00B76659" w:rsidRPr="008C06FE" w14:paraId="04DD1444" w14:textId="77777777" w:rsidTr="00B76659">
        <w:trPr>
          <w:trHeight w:val="578"/>
          <w:tblHeader/>
          <w:jc w:val="center"/>
        </w:trPr>
        <w:tc>
          <w:tcPr>
            <w:tcW w:w="1701" w:type="dxa"/>
            <w:tcBorders>
              <w:top w:val="single" w:sz="4" w:space="0" w:color="auto"/>
              <w:bottom w:val="single" w:sz="4" w:space="0" w:color="auto"/>
            </w:tcBorders>
            <w:tcMar>
              <w:top w:w="15" w:type="dxa"/>
              <w:left w:w="140" w:type="dxa"/>
              <w:bottom w:w="15" w:type="dxa"/>
              <w:right w:w="140" w:type="dxa"/>
            </w:tcMar>
            <w:vAlign w:val="center"/>
            <w:hideMark/>
          </w:tcPr>
          <w:p w14:paraId="22E719BF" w14:textId="77777777" w:rsidR="00B76659" w:rsidRPr="008C06FE" w:rsidRDefault="00B76659" w:rsidP="00B76659">
            <w:pPr>
              <w:jc w:val="left"/>
            </w:pPr>
            <w:bookmarkStart w:id="8" w:name="TABLE4"/>
            <w:r w:rsidRPr="008C06FE">
              <w:t>Model</w:t>
            </w:r>
          </w:p>
        </w:tc>
        <w:tc>
          <w:tcPr>
            <w:tcW w:w="1134" w:type="dxa"/>
            <w:tcBorders>
              <w:top w:val="single" w:sz="4" w:space="0" w:color="auto"/>
              <w:bottom w:val="single" w:sz="4" w:space="0" w:color="auto"/>
            </w:tcBorders>
            <w:tcMar>
              <w:top w:w="15" w:type="dxa"/>
              <w:left w:w="140" w:type="dxa"/>
              <w:bottom w:w="15" w:type="dxa"/>
              <w:right w:w="140" w:type="dxa"/>
            </w:tcMar>
            <w:vAlign w:val="center"/>
            <w:hideMark/>
          </w:tcPr>
          <w:p w14:paraId="16D3713B" w14:textId="77777777" w:rsidR="00B76659" w:rsidRPr="008C06FE" w:rsidRDefault="00B76659" w:rsidP="00B76659">
            <w:pPr>
              <w:jc w:val="left"/>
            </w:pPr>
            <w:r w:rsidRPr="008C06FE">
              <w:t>IFI</w:t>
            </w:r>
            <w:r w:rsidRPr="008C06FE">
              <w:br/>
              <w:t>Delta2</w:t>
            </w:r>
          </w:p>
        </w:tc>
        <w:tc>
          <w:tcPr>
            <w:tcW w:w="851" w:type="dxa"/>
            <w:tcBorders>
              <w:top w:val="single" w:sz="4" w:space="0" w:color="auto"/>
              <w:bottom w:val="single" w:sz="4" w:space="0" w:color="auto"/>
            </w:tcBorders>
            <w:tcMar>
              <w:top w:w="15" w:type="dxa"/>
              <w:left w:w="140" w:type="dxa"/>
              <w:bottom w:w="15" w:type="dxa"/>
              <w:right w:w="140" w:type="dxa"/>
            </w:tcMar>
            <w:vAlign w:val="center"/>
            <w:hideMark/>
          </w:tcPr>
          <w:p w14:paraId="48ABAACB" w14:textId="77777777" w:rsidR="00B76659" w:rsidRPr="008C06FE" w:rsidRDefault="00B76659" w:rsidP="00B76659">
            <w:pPr>
              <w:jc w:val="left"/>
            </w:pPr>
            <w:r w:rsidRPr="008C06FE">
              <w:t>TLI</w:t>
            </w:r>
            <w:r w:rsidRPr="008C06FE">
              <w:br/>
              <w:t>rho2</w:t>
            </w:r>
          </w:p>
        </w:tc>
        <w:tc>
          <w:tcPr>
            <w:tcW w:w="630" w:type="dxa"/>
            <w:tcBorders>
              <w:top w:val="single" w:sz="4" w:space="0" w:color="auto"/>
              <w:bottom w:val="single" w:sz="4" w:space="0" w:color="auto"/>
            </w:tcBorders>
            <w:tcMar>
              <w:top w:w="15" w:type="dxa"/>
              <w:left w:w="140" w:type="dxa"/>
              <w:bottom w:w="15" w:type="dxa"/>
              <w:right w:w="140" w:type="dxa"/>
            </w:tcMar>
            <w:vAlign w:val="center"/>
            <w:hideMark/>
          </w:tcPr>
          <w:p w14:paraId="7CC3F6B9" w14:textId="77777777" w:rsidR="00B76659" w:rsidRPr="008C06FE" w:rsidRDefault="00B76659" w:rsidP="00B76659">
            <w:pPr>
              <w:jc w:val="left"/>
            </w:pPr>
            <w:r w:rsidRPr="008C06FE">
              <w:t>CFI</w:t>
            </w:r>
          </w:p>
        </w:tc>
      </w:tr>
      <w:tr w:rsidR="00B76659" w:rsidRPr="008C06FE" w14:paraId="73739A82" w14:textId="77777777" w:rsidTr="00B76659">
        <w:trPr>
          <w:trHeight w:val="326"/>
          <w:jc w:val="center"/>
        </w:trPr>
        <w:tc>
          <w:tcPr>
            <w:tcW w:w="1701" w:type="dxa"/>
            <w:tcBorders>
              <w:top w:val="single" w:sz="4" w:space="0" w:color="auto"/>
              <w:bottom w:val="single" w:sz="4" w:space="0" w:color="auto"/>
            </w:tcBorders>
            <w:tcMar>
              <w:top w:w="15" w:type="dxa"/>
              <w:left w:w="140" w:type="dxa"/>
              <w:bottom w:w="15" w:type="dxa"/>
              <w:right w:w="140" w:type="dxa"/>
            </w:tcMar>
            <w:vAlign w:val="center"/>
            <w:hideMark/>
          </w:tcPr>
          <w:p w14:paraId="305F2E53" w14:textId="77777777" w:rsidR="00B76659" w:rsidRPr="008C06FE" w:rsidRDefault="00B76659" w:rsidP="00B76659">
            <w:pPr>
              <w:jc w:val="left"/>
            </w:pPr>
            <w:r w:rsidRPr="008C06FE">
              <w:t>Default model</w:t>
            </w:r>
          </w:p>
        </w:tc>
        <w:tc>
          <w:tcPr>
            <w:tcW w:w="1134" w:type="dxa"/>
            <w:tcBorders>
              <w:top w:val="single" w:sz="4" w:space="0" w:color="auto"/>
              <w:bottom w:val="single" w:sz="4" w:space="0" w:color="auto"/>
            </w:tcBorders>
            <w:tcMar>
              <w:top w:w="15" w:type="dxa"/>
              <w:left w:w="140" w:type="dxa"/>
              <w:bottom w:w="15" w:type="dxa"/>
              <w:right w:w="140" w:type="dxa"/>
            </w:tcMar>
            <w:vAlign w:val="center"/>
            <w:hideMark/>
          </w:tcPr>
          <w:p w14:paraId="4E80F3C7" w14:textId="77777777" w:rsidR="00B76659" w:rsidRPr="008C06FE" w:rsidRDefault="00B76659" w:rsidP="00B76659">
            <w:pPr>
              <w:jc w:val="left"/>
            </w:pPr>
            <w:r w:rsidRPr="008C06FE">
              <w:t>.995</w:t>
            </w:r>
          </w:p>
        </w:tc>
        <w:tc>
          <w:tcPr>
            <w:tcW w:w="851" w:type="dxa"/>
            <w:tcBorders>
              <w:top w:val="single" w:sz="4" w:space="0" w:color="auto"/>
              <w:bottom w:val="single" w:sz="4" w:space="0" w:color="auto"/>
            </w:tcBorders>
            <w:tcMar>
              <w:top w:w="15" w:type="dxa"/>
              <w:left w:w="140" w:type="dxa"/>
              <w:bottom w:w="15" w:type="dxa"/>
              <w:right w:w="140" w:type="dxa"/>
            </w:tcMar>
            <w:vAlign w:val="center"/>
            <w:hideMark/>
          </w:tcPr>
          <w:p w14:paraId="4414FA07" w14:textId="77777777" w:rsidR="00B76659" w:rsidRPr="008C06FE" w:rsidRDefault="00B76659" w:rsidP="00B76659">
            <w:pPr>
              <w:jc w:val="left"/>
            </w:pPr>
            <w:r w:rsidRPr="008C06FE">
              <w:t>.929</w:t>
            </w:r>
          </w:p>
        </w:tc>
        <w:tc>
          <w:tcPr>
            <w:tcW w:w="630" w:type="dxa"/>
            <w:tcBorders>
              <w:top w:val="single" w:sz="4" w:space="0" w:color="auto"/>
              <w:bottom w:val="single" w:sz="4" w:space="0" w:color="auto"/>
            </w:tcBorders>
            <w:tcMar>
              <w:top w:w="15" w:type="dxa"/>
              <w:left w:w="140" w:type="dxa"/>
              <w:bottom w:w="15" w:type="dxa"/>
              <w:right w:w="140" w:type="dxa"/>
            </w:tcMar>
            <w:vAlign w:val="center"/>
            <w:hideMark/>
          </w:tcPr>
          <w:p w14:paraId="73C8A51F" w14:textId="77777777" w:rsidR="00B76659" w:rsidRPr="008C06FE" w:rsidRDefault="00B76659" w:rsidP="00B76659">
            <w:pPr>
              <w:jc w:val="left"/>
            </w:pPr>
            <w:r w:rsidRPr="008C06FE">
              <w:t>.991</w:t>
            </w:r>
          </w:p>
        </w:tc>
      </w:tr>
      <w:bookmarkEnd w:id="8"/>
    </w:tbl>
    <w:p w14:paraId="7124C898" w14:textId="6BBEA91C" w:rsidR="00B76659" w:rsidRDefault="00B76659" w:rsidP="00374332">
      <w:pPr>
        <w:spacing w:line="276" w:lineRule="auto"/>
      </w:pPr>
    </w:p>
    <w:p w14:paraId="1AD3BB51" w14:textId="2D9F68AE" w:rsidR="00B76659" w:rsidRPr="00B76659" w:rsidRDefault="00B76659" w:rsidP="00B76659">
      <w:pPr>
        <w:pStyle w:val="Caption"/>
        <w:keepNext/>
        <w:spacing w:after="120"/>
        <w:jc w:val="center"/>
        <w:rPr>
          <w:i w:val="0"/>
          <w:iCs w:val="0"/>
          <w:color w:val="auto"/>
          <w:sz w:val="16"/>
          <w:szCs w:val="16"/>
        </w:rPr>
      </w:pPr>
      <w:r w:rsidRPr="00B76659">
        <w:rPr>
          <w:b/>
          <w:bCs w:val="0"/>
          <w:i w:val="0"/>
          <w:iCs w:val="0"/>
          <w:color w:val="auto"/>
          <w:sz w:val="16"/>
          <w:szCs w:val="16"/>
        </w:rPr>
        <w:t xml:space="preserve">Table </w:t>
      </w:r>
      <w:r w:rsidRPr="00B76659">
        <w:rPr>
          <w:b/>
          <w:bCs w:val="0"/>
          <w:i w:val="0"/>
          <w:iCs w:val="0"/>
          <w:color w:val="auto"/>
          <w:sz w:val="16"/>
          <w:szCs w:val="16"/>
        </w:rPr>
        <w:fldChar w:fldCharType="begin"/>
      </w:r>
      <w:r w:rsidRPr="00B76659">
        <w:rPr>
          <w:b/>
          <w:bCs w:val="0"/>
          <w:i w:val="0"/>
          <w:iCs w:val="0"/>
          <w:color w:val="auto"/>
          <w:sz w:val="16"/>
          <w:szCs w:val="16"/>
        </w:rPr>
        <w:instrText xml:space="preserve"> SEQ Table \* ARABIC </w:instrText>
      </w:r>
      <w:r w:rsidRPr="00B76659">
        <w:rPr>
          <w:b/>
          <w:bCs w:val="0"/>
          <w:i w:val="0"/>
          <w:iCs w:val="0"/>
          <w:color w:val="auto"/>
          <w:sz w:val="16"/>
          <w:szCs w:val="16"/>
        </w:rPr>
        <w:fldChar w:fldCharType="separate"/>
      </w:r>
      <w:r w:rsidR="00A128F0">
        <w:rPr>
          <w:b/>
          <w:bCs w:val="0"/>
          <w:i w:val="0"/>
          <w:iCs w:val="0"/>
          <w:noProof/>
          <w:color w:val="auto"/>
          <w:sz w:val="16"/>
          <w:szCs w:val="16"/>
        </w:rPr>
        <w:t>5</w:t>
      </w:r>
      <w:r w:rsidRPr="00B76659">
        <w:rPr>
          <w:b/>
          <w:bCs w:val="0"/>
          <w:i w:val="0"/>
          <w:iCs w:val="0"/>
          <w:color w:val="auto"/>
          <w:sz w:val="16"/>
          <w:szCs w:val="16"/>
        </w:rPr>
        <w:fldChar w:fldCharType="end"/>
      </w:r>
      <w:r w:rsidRPr="00B76659">
        <w:rPr>
          <w:b/>
          <w:bCs w:val="0"/>
          <w:i w:val="0"/>
          <w:iCs w:val="0"/>
          <w:color w:val="auto"/>
          <w:sz w:val="16"/>
          <w:szCs w:val="16"/>
        </w:rPr>
        <w:t>.</w:t>
      </w:r>
      <w:r w:rsidRPr="00B76659">
        <w:rPr>
          <w:i w:val="0"/>
          <w:iCs w:val="0"/>
          <w:color w:val="auto"/>
          <w:sz w:val="16"/>
          <w:szCs w:val="16"/>
        </w:rPr>
        <w:t xml:space="preserve"> Regression Weights of Iranian EFL Teachers’ TM Model</w:t>
      </w:r>
    </w:p>
    <w:tbl>
      <w:tblPr>
        <w:tblW w:w="6434" w:type="dxa"/>
        <w:jc w:val="center"/>
        <w:tblCellMar>
          <w:top w:w="15" w:type="dxa"/>
          <w:left w:w="15" w:type="dxa"/>
          <w:bottom w:w="15" w:type="dxa"/>
          <w:right w:w="15" w:type="dxa"/>
        </w:tblCellMar>
        <w:tblLook w:val="04A0" w:firstRow="1" w:lastRow="0" w:firstColumn="1" w:lastColumn="0" w:noHBand="0" w:noVBand="1"/>
      </w:tblPr>
      <w:tblGrid>
        <w:gridCol w:w="1523"/>
        <w:gridCol w:w="513"/>
        <w:gridCol w:w="710"/>
        <w:gridCol w:w="1177"/>
        <w:gridCol w:w="757"/>
        <w:gridCol w:w="997"/>
        <w:gridCol w:w="757"/>
      </w:tblGrid>
      <w:tr w:rsidR="00B76659" w:rsidRPr="008C06FE" w14:paraId="7699509C" w14:textId="77777777" w:rsidTr="00B76659">
        <w:trPr>
          <w:trHeight w:val="241"/>
          <w:tblHeader/>
          <w:jc w:val="center"/>
        </w:trPr>
        <w:tc>
          <w:tcPr>
            <w:tcW w:w="0" w:type="auto"/>
            <w:tcBorders>
              <w:top w:val="single" w:sz="4" w:space="0" w:color="auto"/>
              <w:bottom w:val="single" w:sz="4" w:space="0" w:color="auto"/>
            </w:tcBorders>
            <w:tcMar>
              <w:top w:w="15" w:type="dxa"/>
              <w:left w:w="140" w:type="dxa"/>
              <w:bottom w:w="15" w:type="dxa"/>
              <w:right w:w="140" w:type="dxa"/>
            </w:tcMar>
            <w:vAlign w:val="center"/>
            <w:hideMark/>
          </w:tcPr>
          <w:p w14:paraId="52F6DFB6" w14:textId="77777777" w:rsidR="00B76659" w:rsidRPr="008C06FE" w:rsidRDefault="00B76659" w:rsidP="00B76659">
            <w:bookmarkStart w:id="9" w:name="TABLE5"/>
            <w:r w:rsidRPr="008C06FE">
              <w:t>Correlations</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14:paraId="63F129EC" w14:textId="77777777" w:rsidR="00B76659" w:rsidRPr="008C06FE" w:rsidRDefault="00B76659" w:rsidP="00B76659">
            <w:pPr>
              <w:jc w:val="right"/>
            </w:pP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14:paraId="35E236A6" w14:textId="77777777" w:rsidR="00B76659" w:rsidRPr="008C06FE" w:rsidRDefault="00B76659" w:rsidP="00B76659">
            <w:pPr>
              <w:jc w:val="right"/>
            </w:pP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14:paraId="42575812" w14:textId="77777777" w:rsidR="00B76659" w:rsidRPr="008C06FE" w:rsidRDefault="00B76659" w:rsidP="00B76659">
            <w:pPr>
              <w:jc w:val="center"/>
            </w:pPr>
            <w:r w:rsidRPr="008C06FE">
              <w:t>Estimate</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14:paraId="2BDA753E" w14:textId="77777777" w:rsidR="00B76659" w:rsidRPr="008C06FE" w:rsidRDefault="00B76659" w:rsidP="00B76659">
            <w:pPr>
              <w:jc w:val="center"/>
            </w:pPr>
            <w:r w:rsidRPr="008C06FE">
              <w:t>S.E.</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14:paraId="76D0A908" w14:textId="77777777" w:rsidR="00B76659" w:rsidRPr="008C06FE" w:rsidRDefault="00B76659" w:rsidP="00B76659">
            <w:pPr>
              <w:jc w:val="center"/>
            </w:pPr>
            <w:r w:rsidRPr="008C06FE">
              <w:t>C.R.</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14:paraId="3DF18C1F" w14:textId="77777777" w:rsidR="00B76659" w:rsidRPr="008C06FE" w:rsidRDefault="00B76659" w:rsidP="00B76659">
            <w:pPr>
              <w:jc w:val="center"/>
            </w:pPr>
            <w:r w:rsidRPr="008C06FE">
              <w:t>P</w:t>
            </w:r>
          </w:p>
        </w:tc>
      </w:tr>
      <w:tr w:rsidR="00B76659" w:rsidRPr="008C06FE" w14:paraId="2DBFB7B4" w14:textId="77777777" w:rsidTr="00B76659">
        <w:trPr>
          <w:trHeight w:val="241"/>
          <w:jc w:val="center"/>
        </w:trPr>
        <w:tc>
          <w:tcPr>
            <w:tcW w:w="0" w:type="auto"/>
            <w:tcBorders>
              <w:top w:val="single" w:sz="4" w:space="0" w:color="auto"/>
              <w:bottom w:val="single" w:sz="4" w:space="0" w:color="FFFFFF" w:themeColor="background1"/>
            </w:tcBorders>
            <w:tcMar>
              <w:top w:w="15" w:type="dxa"/>
              <w:left w:w="57" w:type="dxa"/>
              <w:bottom w:w="15" w:type="dxa"/>
              <w:right w:w="57" w:type="dxa"/>
            </w:tcMar>
            <w:vAlign w:val="center"/>
            <w:hideMark/>
          </w:tcPr>
          <w:p w14:paraId="72B65838" w14:textId="77777777" w:rsidR="00B76659" w:rsidRPr="008C06FE" w:rsidRDefault="00B76659" w:rsidP="00B76659">
            <w:r w:rsidRPr="008C06FE">
              <w:t>TM</w:t>
            </w:r>
          </w:p>
        </w:tc>
        <w:tc>
          <w:tcPr>
            <w:tcW w:w="0" w:type="auto"/>
            <w:tcBorders>
              <w:top w:val="single" w:sz="4" w:space="0" w:color="auto"/>
              <w:bottom w:val="single" w:sz="4" w:space="0" w:color="FFFFFF" w:themeColor="background1"/>
            </w:tcBorders>
            <w:noWrap/>
            <w:tcMar>
              <w:top w:w="15" w:type="dxa"/>
              <w:left w:w="57" w:type="dxa"/>
              <w:bottom w:w="15" w:type="dxa"/>
              <w:right w:w="57" w:type="dxa"/>
            </w:tcMar>
            <w:vAlign w:val="center"/>
            <w:hideMark/>
          </w:tcPr>
          <w:p w14:paraId="58635DBE" w14:textId="77777777" w:rsidR="00B76659" w:rsidRPr="008C06FE" w:rsidRDefault="00B76659" w:rsidP="00B76659">
            <w:r w:rsidRPr="008C06FE">
              <w:t>&lt;---</w:t>
            </w:r>
          </w:p>
        </w:tc>
        <w:tc>
          <w:tcPr>
            <w:tcW w:w="0" w:type="auto"/>
            <w:tcBorders>
              <w:top w:val="single" w:sz="4" w:space="0" w:color="auto"/>
              <w:bottom w:val="single" w:sz="4" w:space="0" w:color="FFFFFF" w:themeColor="background1"/>
            </w:tcBorders>
            <w:tcMar>
              <w:top w:w="15" w:type="dxa"/>
              <w:left w:w="140" w:type="dxa"/>
              <w:bottom w:w="15" w:type="dxa"/>
              <w:right w:w="140" w:type="dxa"/>
            </w:tcMar>
            <w:vAlign w:val="center"/>
            <w:hideMark/>
          </w:tcPr>
          <w:p w14:paraId="77103689" w14:textId="77777777" w:rsidR="00B76659" w:rsidRPr="008C06FE" w:rsidRDefault="00B76659" w:rsidP="00B76659">
            <w:r w:rsidRPr="008C06FE">
              <w:t>TE</w:t>
            </w:r>
          </w:p>
        </w:tc>
        <w:tc>
          <w:tcPr>
            <w:tcW w:w="0" w:type="auto"/>
            <w:tcBorders>
              <w:top w:val="single" w:sz="4" w:space="0" w:color="auto"/>
              <w:bottom w:val="single" w:sz="4" w:space="0" w:color="FFFFFF" w:themeColor="background1"/>
            </w:tcBorders>
            <w:noWrap/>
            <w:tcMar>
              <w:top w:w="15" w:type="dxa"/>
              <w:left w:w="140" w:type="dxa"/>
              <w:bottom w:w="15" w:type="dxa"/>
              <w:right w:w="140" w:type="dxa"/>
            </w:tcMar>
            <w:vAlign w:val="center"/>
            <w:hideMark/>
          </w:tcPr>
          <w:p w14:paraId="440910EB" w14:textId="77777777" w:rsidR="00B76659" w:rsidRPr="008C06FE" w:rsidRDefault="00B76659" w:rsidP="00B76659">
            <w:pPr>
              <w:jc w:val="center"/>
            </w:pPr>
            <w:r w:rsidRPr="008C06FE">
              <w:t>-.059</w:t>
            </w:r>
          </w:p>
        </w:tc>
        <w:tc>
          <w:tcPr>
            <w:tcW w:w="0" w:type="auto"/>
            <w:tcBorders>
              <w:top w:val="single" w:sz="4" w:space="0" w:color="auto"/>
              <w:bottom w:val="single" w:sz="4" w:space="0" w:color="FFFFFF" w:themeColor="background1"/>
            </w:tcBorders>
            <w:tcMar>
              <w:top w:w="15" w:type="dxa"/>
              <w:left w:w="140" w:type="dxa"/>
              <w:bottom w:w="15" w:type="dxa"/>
              <w:right w:w="140" w:type="dxa"/>
            </w:tcMar>
            <w:vAlign w:val="center"/>
            <w:hideMark/>
          </w:tcPr>
          <w:p w14:paraId="2ADAD79F" w14:textId="77777777" w:rsidR="00B76659" w:rsidRPr="008C06FE" w:rsidRDefault="00B76659" w:rsidP="00B76659">
            <w:pPr>
              <w:jc w:val="center"/>
            </w:pPr>
            <w:r w:rsidRPr="008C06FE">
              <w:t>.006</w:t>
            </w:r>
          </w:p>
        </w:tc>
        <w:tc>
          <w:tcPr>
            <w:tcW w:w="0" w:type="auto"/>
            <w:tcBorders>
              <w:top w:val="single" w:sz="4" w:space="0" w:color="auto"/>
              <w:bottom w:val="single" w:sz="4" w:space="0" w:color="FFFFFF" w:themeColor="background1"/>
            </w:tcBorders>
            <w:noWrap/>
            <w:tcMar>
              <w:top w:w="15" w:type="dxa"/>
              <w:left w:w="140" w:type="dxa"/>
              <w:bottom w:w="15" w:type="dxa"/>
              <w:right w:w="140" w:type="dxa"/>
            </w:tcMar>
            <w:vAlign w:val="center"/>
            <w:hideMark/>
          </w:tcPr>
          <w:p w14:paraId="288EB6D8" w14:textId="77777777" w:rsidR="00B76659" w:rsidRPr="008C06FE" w:rsidRDefault="00B76659" w:rsidP="00B76659">
            <w:pPr>
              <w:jc w:val="center"/>
            </w:pPr>
            <w:r w:rsidRPr="008C06FE">
              <w:t>-9.251</w:t>
            </w:r>
          </w:p>
        </w:tc>
        <w:tc>
          <w:tcPr>
            <w:tcW w:w="0" w:type="auto"/>
            <w:tcBorders>
              <w:top w:val="single" w:sz="4" w:space="0" w:color="auto"/>
              <w:bottom w:val="single" w:sz="4" w:space="0" w:color="FFFFFF" w:themeColor="background1"/>
            </w:tcBorders>
            <w:tcMar>
              <w:top w:w="15" w:type="dxa"/>
              <w:left w:w="140" w:type="dxa"/>
              <w:bottom w:w="15" w:type="dxa"/>
              <w:right w:w="140" w:type="dxa"/>
            </w:tcMar>
            <w:vAlign w:val="center"/>
            <w:hideMark/>
          </w:tcPr>
          <w:p w14:paraId="06094C45" w14:textId="77777777" w:rsidR="00B76659" w:rsidRPr="008C06FE" w:rsidRDefault="00B76659" w:rsidP="00B76659">
            <w:pPr>
              <w:jc w:val="center"/>
            </w:pPr>
            <w:r w:rsidRPr="008C06FE">
              <w:t>.254</w:t>
            </w:r>
          </w:p>
        </w:tc>
      </w:tr>
      <w:tr w:rsidR="00B76659" w:rsidRPr="008C06FE" w14:paraId="6E84598B" w14:textId="77777777" w:rsidTr="00B76659">
        <w:trPr>
          <w:trHeight w:val="252"/>
          <w:jc w:val="center"/>
        </w:trPr>
        <w:tc>
          <w:tcPr>
            <w:tcW w:w="0" w:type="auto"/>
            <w:tcBorders>
              <w:top w:val="single" w:sz="4" w:space="0" w:color="FFFFFF" w:themeColor="background1"/>
              <w:bottom w:val="single" w:sz="4" w:space="0" w:color="FFFFFF" w:themeColor="background1"/>
            </w:tcBorders>
            <w:tcMar>
              <w:top w:w="15" w:type="dxa"/>
              <w:left w:w="57" w:type="dxa"/>
              <w:bottom w:w="15" w:type="dxa"/>
              <w:right w:w="57" w:type="dxa"/>
            </w:tcMar>
            <w:vAlign w:val="center"/>
            <w:hideMark/>
          </w:tcPr>
          <w:p w14:paraId="2EF7368E" w14:textId="77777777" w:rsidR="00B76659" w:rsidRPr="008C06FE" w:rsidRDefault="00B76659" w:rsidP="00B76659">
            <w:r w:rsidRPr="008C06FE">
              <w:t>TM</w:t>
            </w:r>
          </w:p>
        </w:tc>
        <w:tc>
          <w:tcPr>
            <w:tcW w:w="0" w:type="auto"/>
            <w:tcBorders>
              <w:top w:val="single" w:sz="4" w:space="0" w:color="FFFFFF" w:themeColor="background1"/>
              <w:bottom w:val="single" w:sz="4" w:space="0" w:color="FFFFFF" w:themeColor="background1"/>
            </w:tcBorders>
            <w:noWrap/>
            <w:tcMar>
              <w:top w:w="15" w:type="dxa"/>
              <w:left w:w="57" w:type="dxa"/>
              <w:bottom w:w="15" w:type="dxa"/>
              <w:right w:w="57" w:type="dxa"/>
            </w:tcMar>
            <w:vAlign w:val="center"/>
            <w:hideMark/>
          </w:tcPr>
          <w:p w14:paraId="5CF4A7F9" w14:textId="77777777" w:rsidR="00B76659" w:rsidRPr="008C06FE" w:rsidRDefault="00B76659" w:rsidP="00B76659">
            <w:r w:rsidRPr="008C06FE">
              <w:t>&lt;---</w:t>
            </w:r>
          </w:p>
        </w:tc>
        <w:tc>
          <w:tcPr>
            <w:tcW w:w="0" w:type="auto"/>
            <w:tcBorders>
              <w:top w:val="single" w:sz="4" w:space="0" w:color="FFFFFF" w:themeColor="background1"/>
              <w:bottom w:val="single" w:sz="4" w:space="0" w:color="FFFFFF" w:themeColor="background1"/>
            </w:tcBorders>
            <w:tcMar>
              <w:top w:w="15" w:type="dxa"/>
              <w:left w:w="140" w:type="dxa"/>
              <w:bottom w:w="15" w:type="dxa"/>
              <w:right w:w="140" w:type="dxa"/>
            </w:tcMar>
            <w:vAlign w:val="center"/>
            <w:hideMark/>
          </w:tcPr>
          <w:p w14:paraId="30DCD2C0" w14:textId="77777777" w:rsidR="00B76659" w:rsidRPr="008C06FE" w:rsidRDefault="00B76659" w:rsidP="00B76659">
            <w:r w:rsidRPr="008C06FE">
              <w:t>ER</w:t>
            </w:r>
          </w:p>
        </w:tc>
        <w:tc>
          <w:tcPr>
            <w:tcW w:w="0" w:type="auto"/>
            <w:tcBorders>
              <w:top w:val="single" w:sz="4" w:space="0" w:color="FFFFFF" w:themeColor="background1"/>
              <w:bottom w:val="single" w:sz="4" w:space="0" w:color="FFFFFF" w:themeColor="background1"/>
            </w:tcBorders>
            <w:tcMar>
              <w:top w:w="15" w:type="dxa"/>
              <w:left w:w="140" w:type="dxa"/>
              <w:bottom w:w="15" w:type="dxa"/>
              <w:right w:w="140" w:type="dxa"/>
            </w:tcMar>
            <w:vAlign w:val="center"/>
            <w:hideMark/>
          </w:tcPr>
          <w:p w14:paraId="228DDAAE" w14:textId="77777777" w:rsidR="00B76659" w:rsidRPr="008C06FE" w:rsidRDefault="00B76659" w:rsidP="00B76659">
            <w:pPr>
              <w:jc w:val="center"/>
            </w:pPr>
            <w:r w:rsidRPr="008C06FE">
              <w:t>.147</w:t>
            </w:r>
          </w:p>
        </w:tc>
        <w:tc>
          <w:tcPr>
            <w:tcW w:w="0" w:type="auto"/>
            <w:tcBorders>
              <w:top w:val="single" w:sz="4" w:space="0" w:color="FFFFFF" w:themeColor="background1"/>
              <w:bottom w:val="single" w:sz="4" w:space="0" w:color="FFFFFF" w:themeColor="background1"/>
            </w:tcBorders>
            <w:tcMar>
              <w:top w:w="15" w:type="dxa"/>
              <w:left w:w="140" w:type="dxa"/>
              <w:bottom w:w="15" w:type="dxa"/>
              <w:right w:w="140" w:type="dxa"/>
            </w:tcMar>
            <w:vAlign w:val="center"/>
            <w:hideMark/>
          </w:tcPr>
          <w:p w14:paraId="370B1144" w14:textId="77777777" w:rsidR="00B76659" w:rsidRPr="008C06FE" w:rsidRDefault="00B76659" w:rsidP="00B76659">
            <w:pPr>
              <w:jc w:val="center"/>
            </w:pPr>
            <w:r w:rsidRPr="008C06FE">
              <w:t>.008</w:t>
            </w:r>
          </w:p>
        </w:tc>
        <w:tc>
          <w:tcPr>
            <w:tcW w:w="0" w:type="auto"/>
            <w:tcBorders>
              <w:top w:val="single" w:sz="4" w:space="0" w:color="FFFFFF" w:themeColor="background1"/>
              <w:bottom w:val="single" w:sz="4" w:space="0" w:color="FFFFFF" w:themeColor="background1"/>
            </w:tcBorders>
            <w:tcMar>
              <w:top w:w="15" w:type="dxa"/>
              <w:left w:w="140" w:type="dxa"/>
              <w:bottom w:w="15" w:type="dxa"/>
              <w:right w:w="140" w:type="dxa"/>
            </w:tcMar>
            <w:vAlign w:val="center"/>
            <w:hideMark/>
          </w:tcPr>
          <w:p w14:paraId="3EA21F31" w14:textId="77777777" w:rsidR="00B76659" w:rsidRPr="008C06FE" w:rsidRDefault="00B76659" w:rsidP="00B76659">
            <w:pPr>
              <w:jc w:val="center"/>
            </w:pPr>
            <w:r w:rsidRPr="008C06FE">
              <w:t>17.534</w:t>
            </w:r>
          </w:p>
        </w:tc>
        <w:tc>
          <w:tcPr>
            <w:tcW w:w="0" w:type="auto"/>
            <w:tcBorders>
              <w:top w:val="single" w:sz="4" w:space="0" w:color="FFFFFF" w:themeColor="background1"/>
              <w:bottom w:val="single" w:sz="4" w:space="0" w:color="FFFFFF" w:themeColor="background1"/>
            </w:tcBorders>
            <w:tcMar>
              <w:top w:w="15" w:type="dxa"/>
              <w:left w:w="140" w:type="dxa"/>
              <w:bottom w:w="15" w:type="dxa"/>
              <w:right w:w="140" w:type="dxa"/>
            </w:tcMar>
            <w:vAlign w:val="center"/>
            <w:hideMark/>
          </w:tcPr>
          <w:p w14:paraId="6C936B32" w14:textId="77777777" w:rsidR="00B76659" w:rsidRPr="008C06FE" w:rsidRDefault="00B76659" w:rsidP="00B76659">
            <w:pPr>
              <w:jc w:val="center"/>
            </w:pPr>
            <w:r w:rsidRPr="008C06FE">
              <w:t>.000</w:t>
            </w:r>
          </w:p>
        </w:tc>
      </w:tr>
      <w:tr w:rsidR="00B76659" w:rsidRPr="008C06FE" w14:paraId="1651C529" w14:textId="77777777" w:rsidTr="00B76659">
        <w:trPr>
          <w:trHeight w:val="231"/>
          <w:jc w:val="center"/>
        </w:trPr>
        <w:tc>
          <w:tcPr>
            <w:tcW w:w="0" w:type="auto"/>
            <w:tcBorders>
              <w:top w:val="single" w:sz="4" w:space="0" w:color="FFFFFF" w:themeColor="background1"/>
              <w:bottom w:val="single" w:sz="4" w:space="0" w:color="auto"/>
            </w:tcBorders>
            <w:tcMar>
              <w:top w:w="15" w:type="dxa"/>
              <w:left w:w="57" w:type="dxa"/>
              <w:bottom w:w="15" w:type="dxa"/>
              <w:right w:w="57" w:type="dxa"/>
            </w:tcMar>
            <w:vAlign w:val="center"/>
            <w:hideMark/>
          </w:tcPr>
          <w:p w14:paraId="666C176A" w14:textId="77777777" w:rsidR="00B76659" w:rsidRPr="008C06FE" w:rsidRDefault="00B76659" w:rsidP="00B76659">
            <w:r w:rsidRPr="008C06FE">
              <w:t>TM</w:t>
            </w:r>
          </w:p>
        </w:tc>
        <w:tc>
          <w:tcPr>
            <w:tcW w:w="0" w:type="auto"/>
            <w:tcBorders>
              <w:top w:val="single" w:sz="4" w:space="0" w:color="FFFFFF" w:themeColor="background1"/>
              <w:bottom w:val="single" w:sz="4" w:space="0" w:color="auto"/>
            </w:tcBorders>
            <w:noWrap/>
            <w:tcMar>
              <w:top w:w="15" w:type="dxa"/>
              <w:left w:w="57" w:type="dxa"/>
              <w:bottom w:w="15" w:type="dxa"/>
              <w:right w:w="57" w:type="dxa"/>
            </w:tcMar>
            <w:vAlign w:val="center"/>
            <w:hideMark/>
          </w:tcPr>
          <w:p w14:paraId="5BCB2954" w14:textId="77777777" w:rsidR="00B76659" w:rsidRPr="008C06FE" w:rsidRDefault="00B76659" w:rsidP="00B76659">
            <w:r w:rsidRPr="008C06FE">
              <w:t>&lt;---</w:t>
            </w:r>
          </w:p>
        </w:tc>
        <w:tc>
          <w:tcPr>
            <w:tcW w:w="0" w:type="auto"/>
            <w:tcBorders>
              <w:top w:val="single" w:sz="4" w:space="0" w:color="FFFFFF" w:themeColor="background1"/>
              <w:bottom w:val="single" w:sz="4" w:space="0" w:color="auto"/>
            </w:tcBorders>
            <w:tcMar>
              <w:top w:w="15" w:type="dxa"/>
              <w:left w:w="140" w:type="dxa"/>
              <w:bottom w:w="15" w:type="dxa"/>
              <w:right w:w="140" w:type="dxa"/>
            </w:tcMar>
            <w:vAlign w:val="center"/>
            <w:hideMark/>
          </w:tcPr>
          <w:p w14:paraId="1BFD63F8" w14:textId="77777777" w:rsidR="00B76659" w:rsidRPr="008C06FE" w:rsidRDefault="00B76659" w:rsidP="00B76659">
            <w:r w:rsidRPr="008C06FE">
              <w:t>WE</w:t>
            </w:r>
          </w:p>
        </w:tc>
        <w:tc>
          <w:tcPr>
            <w:tcW w:w="0" w:type="auto"/>
            <w:tcBorders>
              <w:top w:val="single" w:sz="4" w:space="0" w:color="FFFFFF" w:themeColor="background1"/>
              <w:bottom w:val="single" w:sz="4" w:space="0" w:color="auto"/>
            </w:tcBorders>
            <w:tcMar>
              <w:top w:w="15" w:type="dxa"/>
              <w:left w:w="140" w:type="dxa"/>
              <w:bottom w:w="15" w:type="dxa"/>
              <w:right w:w="140" w:type="dxa"/>
            </w:tcMar>
            <w:vAlign w:val="center"/>
            <w:hideMark/>
          </w:tcPr>
          <w:p w14:paraId="62F0DC83" w14:textId="77777777" w:rsidR="00B76659" w:rsidRPr="008C06FE" w:rsidRDefault="00B76659" w:rsidP="00B76659">
            <w:pPr>
              <w:jc w:val="center"/>
            </w:pPr>
            <w:r w:rsidRPr="008C06FE">
              <w:t>.653</w:t>
            </w:r>
          </w:p>
        </w:tc>
        <w:tc>
          <w:tcPr>
            <w:tcW w:w="0" w:type="auto"/>
            <w:tcBorders>
              <w:top w:val="single" w:sz="4" w:space="0" w:color="FFFFFF" w:themeColor="background1"/>
              <w:bottom w:val="single" w:sz="4" w:space="0" w:color="auto"/>
            </w:tcBorders>
            <w:tcMar>
              <w:top w:w="15" w:type="dxa"/>
              <w:left w:w="140" w:type="dxa"/>
              <w:bottom w:w="15" w:type="dxa"/>
              <w:right w:w="140" w:type="dxa"/>
            </w:tcMar>
            <w:vAlign w:val="center"/>
            <w:hideMark/>
          </w:tcPr>
          <w:p w14:paraId="4D486900" w14:textId="77777777" w:rsidR="00B76659" w:rsidRPr="008C06FE" w:rsidRDefault="00B76659" w:rsidP="00B76659">
            <w:pPr>
              <w:jc w:val="center"/>
            </w:pPr>
            <w:r w:rsidRPr="008C06FE">
              <w:t>.021</w:t>
            </w:r>
          </w:p>
        </w:tc>
        <w:tc>
          <w:tcPr>
            <w:tcW w:w="0" w:type="auto"/>
            <w:tcBorders>
              <w:top w:val="single" w:sz="4" w:space="0" w:color="FFFFFF" w:themeColor="background1"/>
              <w:bottom w:val="single" w:sz="4" w:space="0" w:color="auto"/>
            </w:tcBorders>
            <w:tcMar>
              <w:top w:w="15" w:type="dxa"/>
              <w:left w:w="140" w:type="dxa"/>
              <w:bottom w:w="15" w:type="dxa"/>
              <w:right w:w="140" w:type="dxa"/>
            </w:tcMar>
            <w:vAlign w:val="center"/>
            <w:hideMark/>
          </w:tcPr>
          <w:p w14:paraId="6DF115EA" w14:textId="77777777" w:rsidR="00B76659" w:rsidRPr="008C06FE" w:rsidRDefault="00B76659" w:rsidP="00B76659">
            <w:pPr>
              <w:jc w:val="center"/>
            </w:pPr>
            <w:r w:rsidRPr="008C06FE">
              <w:t>30.795</w:t>
            </w:r>
          </w:p>
        </w:tc>
        <w:tc>
          <w:tcPr>
            <w:tcW w:w="0" w:type="auto"/>
            <w:tcBorders>
              <w:top w:val="single" w:sz="4" w:space="0" w:color="FFFFFF" w:themeColor="background1"/>
              <w:bottom w:val="single" w:sz="4" w:space="0" w:color="auto"/>
            </w:tcBorders>
            <w:tcMar>
              <w:top w:w="15" w:type="dxa"/>
              <w:left w:w="140" w:type="dxa"/>
              <w:bottom w:w="15" w:type="dxa"/>
              <w:right w:w="140" w:type="dxa"/>
            </w:tcMar>
            <w:vAlign w:val="center"/>
            <w:hideMark/>
          </w:tcPr>
          <w:p w14:paraId="54E2A7F2" w14:textId="77777777" w:rsidR="00B76659" w:rsidRPr="008C06FE" w:rsidRDefault="00B76659" w:rsidP="00B76659">
            <w:pPr>
              <w:jc w:val="center"/>
            </w:pPr>
            <w:r w:rsidRPr="008C06FE">
              <w:t>.000</w:t>
            </w:r>
          </w:p>
        </w:tc>
      </w:tr>
      <w:bookmarkEnd w:id="9"/>
    </w:tbl>
    <w:p w14:paraId="0C6A9941" w14:textId="18AD8482" w:rsidR="00B76659" w:rsidRDefault="00B76659" w:rsidP="00374332">
      <w:pPr>
        <w:spacing w:line="276" w:lineRule="auto"/>
      </w:pPr>
    </w:p>
    <w:p w14:paraId="75BAF619" w14:textId="4C130852" w:rsidR="00B76659" w:rsidRPr="00B76659" w:rsidRDefault="00B76659" w:rsidP="00B76659">
      <w:pPr>
        <w:pStyle w:val="Caption"/>
        <w:keepNext/>
        <w:spacing w:after="120"/>
        <w:jc w:val="center"/>
        <w:rPr>
          <w:i w:val="0"/>
          <w:iCs w:val="0"/>
          <w:color w:val="auto"/>
          <w:sz w:val="16"/>
          <w:szCs w:val="16"/>
        </w:rPr>
      </w:pPr>
      <w:r w:rsidRPr="00B76659">
        <w:rPr>
          <w:b/>
          <w:bCs w:val="0"/>
          <w:i w:val="0"/>
          <w:iCs w:val="0"/>
          <w:color w:val="auto"/>
          <w:sz w:val="16"/>
          <w:szCs w:val="16"/>
        </w:rPr>
        <w:lastRenderedPageBreak/>
        <w:t xml:space="preserve">Table </w:t>
      </w:r>
      <w:r w:rsidRPr="00B76659">
        <w:rPr>
          <w:b/>
          <w:bCs w:val="0"/>
          <w:i w:val="0"/>
          <w:iCs w:val="0"/>
          <w:color w:val="auto"/>
          <w:sz w:val="16"/>
          <w:szCs w:val="16"/>
        </w:rPr>
        <w:fldChar w:fldCharType="begin"/>
      </w:r>
      <w:r w:rsidRPr="00B76659">
        <w:rPr>
          <w:b/>
          <w:bCs w:val="0"/>
          <w:i w:val="0"/>
          <w:iCs w:val="0"/>
          <w:color w:val="auto"/>
          <w:sz w:val="16"/>
          <w:szCs w:val="16"/>
        </w:rPr>
        <w:instrText xml:space="preserve"> SEQ Table \* ARABIC </w:instrText>
      </w:r>
      <w:r w:rsidRPr="00B76659">
        <w:rPr>
          <w:b/>
          <w:bCs w:val="0"/>
          <w:i w:val="0"/>
          <w:iCs w:val="0"/>
          <w:color w:val="auto"/>
          <w:sz w:val="16"/>
          <w:szCs w:val="16"/>
        </w:rPr>
        <w:fldChar w:fldCharType="separate"/>
      </w:r>
      <w:r w:rsidR="00A128F0">
        <w:rPr>
          <w:b/>
          <w:bCs w:val="0"/>
          <w:i w:val="0"/>
          <w:iCs w:val="0"/>
          <w:noProof/>
          <w:color w:val="auto"/>
          <w:sz w:val="16"/>
          <w:szCs w:val="16"/>
        </w:rPr>
        <w:t>6</w:t>
      </w:r>
      <w:r w:rsidRPr="00B76659">
        <w:rPr>
          <w:b/>
          <w:bCs w:val="0"/>
          <w:i w:val="0"/>
          <w:iCs w:val="0"/>
          <w:color w:val="auto"/>
          <w:sz w:val="16"/>
          <w:szCs w:val="16"/>
        </w:rPr>
        <w:fldChar w:fldCharType="end"/>
      </w:r>
      <w:r w:rsidRPr="00B76659">
        <w:rPr>
          <w:b/>
          <w:bCs w:val="0"/>
          <w:i w:val="0"/>
          <w:iCs w:val="0"/>
          <w:color w:val="auto"/>
          <w:sz w:val="16"/>
          <w:szCs w:val="16"/>
        </w:rPr>
        <w:t>.</w:t>
      </w:r>
      <w:r w:rsidRPr="00B76659">
        <w:rPr>
          <w:i w:val="0"/>
          <w:iCs w:val="0"/>
          <w:color w:val="auto"/>
          <w:sz w:val="16"/>
          <w:szCs w:val="16"/>
        </w:rPr>
        <w:t xml:space="preserve"> Standardized Estimates of Iranian EFL Teachers’ TM</w:t>
      </w:r>
    </w:p>
    <w:tbl>
      <w:tblPr>
        <w:tblW w:w="6310" w:type="dxa"/>
        <w:jc w:val="center"/>
        <w:tblCellMar>
          <w:top w:w="15" w:type="dxa"/>
          <w:left w:w="15" w:type="dxa"/>
          <w:bottom w:w="15" w:type="dxa"/>
          <w:right w:w="15" w:type="dxa"/>
        </w:tblCellMar>
        <w:tblLook w:val="04A0" w:firstRow="1" w:lastRow="0" w:firstColumn="1" w:lastColumn="0" w:noHBand="0" w:noVBand="1"/>
      </w:tblPr>
      <w:tblGrid>
        <w:gridCol w:w="2451"/>
        <w:gridCol w:w="825"/>
        <w:gridCol w:w="1141"/>
        <w:gridCol w:w="1893"/>
      </w:tblGrid>
      <w:tr w:rsidR="00B76659" w:rsidRPr="008C06FE" w14:paraId="389F66ED" w14:textId="77777777" w:rsidTr="00B76659">
        <w:trPr>
          <w:trHeight w:val="233"/>
          <w:tblHeader/>
          <w:jc w:val="center"/>
        </w:trPr>
        <w:tc>
          <w:tcPr>
            <w:tcW w:w="0" w:type="auto"/>
            <w:tcBorders>
              <w:top w:val="single" w:sz="4" w:space="0" w:color="auto"/>
              <w:bottom w:val="single" w:sz="4" w:space="0" w:color="auto"/>
            </w:tcBorders>
            <w:tcMar>
              <w:top w:w="15" w:type="dxa"/>
              <w:left w:w="140" w:type="dxa"/>
              <w:bottom w:w="15" w:type="dxa"/>
              <w:right w:w="140" w:type="dxa"/>
            </w:tcMar>
            <w:vAlign w:val="center"/>
            <w:hideMark/>
          </w:tcPr>
          <w:p w14:paraId="54140757" w14:textId="77777777" w:rsidR="00B76659" w:rsidRPr="008C06FE" w:rsidRDefault="00B76659" w:rsidP="00B76659">
            <w:bookmarkStart w:id="10" w:name="TABLE6"/>
            <w:r w:rsidRPr="008C06FE">
              <w:t>Correlations</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14:paraId="1F6A8154" w14:textId="77777777" w:rsidR="00B76659" w:rsidRPr="008C06FE" w:rsidRDefault="00B76659" w:rsidP="00B76659">
            <w:pPr>
              <w:jc w:val="right"/>
            </w:pP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14:paraId="53F03C7F" w14:textId="77777777" w:rsidR="00B76659" w:rsidRPr="008C06FE" w:rsidRDefault="00B76659" w:rsidP="00B76659">
            <w:pPr>
              <w:jc w:val="right"/>
            </w:pP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14:paraId="424DAAD4" w14:textId="77777777" w:rsidR="00B76659" w:rsidRPr="008C06FE" w:rsidRDefault="00B76659" w:rsidP="00B76659">
            <w:pPr>
              <w:jc w:val="right"/>
            </w:pPr>
            <w:r w:rsidRPr="008C06FE">
              <w:t>Estimate</w:t>
            </w:r>
          </w:p>
        </w:tc>
      </w:tr>
      <w:tr w:rsidR="00B76659" w:rsidRPr="008C06FE" w14:paraId="2C3E9F2D" w14:textId="77777777" w:rsidTr="00B76659">
        <w:trPr>
          <w:trHeight w:val="233"/>
          <w:jc w:val="center"/>
        </w:trPr>
        <w:tc>
          <w:tcPr>
            <w:tcW w:w="0" w:type="auto"/>
            <w:tcBorders>
              <w:top w:val="single" w:sz="4" w:space="0" w:color="auto"/>
              <w:bottom w:val="single" w:sz="4" w:space="0" w:color="FFFFFF" w:themeColor="background1"/>
            </w:tcBorders>
            <w:tcMar>
              <w:top w:w="15" w:type="dxa"/>
              <w:left w:w="57" w:type="dxa"/>
              <w:bottom w:w="15" w:type="dxa"/>
              <w:right w:w="57" w:type="dxa"/>
            </w:tcMar>
            <w:vAlign w:val="center"/>
            <w:hideMark/>
          </w:tcPr>
          <w:p w14:paraId="563C58C1" w14:textId="77777777" w:rsidR="00B76659" w:rsidRPr="008C06FE" w:rsidRDefault="00B76659" w:rsidP="00B76659">
            <w:r w:rsidRPr="008C06FE">
              <w:t>TM</w:t>
            </w:r>
          </w:p>
        </w:tc>
        <w:tc>
          <w:tcPr>
            <w:tcW w:w="0" w:type="auto"/>
            <w:tcBorders>
              <w:top w:val="single" w:sz="4" w:space="0" w:color="auto"/>
              <w:bottom w:val="single" w:sz="4" w:space="0" w:color="FFFFFF" w:themeColor="background1"/>
            </w:tcBorders>
            <w:noWrap/>
            <w:tcMar>
              <w:top w:w="15" w:type="dxa"/>
              <w:left w:w="57" w:type="dxa"/>
              <w:bottom w:w="15" w:type="dxa"/>
              <w:right w:w="57" w:type="dxa"/>
            </w:tcMar>
            <w:vAlign w:val="center"/>
            <w:hideMark/>
          </w:tcPr>
          <w:p w14:paraId="6425C8F7" w14:textId="77777777" w:rsidR="00B76659" w:rsidRPr="008C06FE" w:rsidRDefault="00B76659" w:rsidP="00B76659">
            <w:r w:rsidRPr="008C06FE">
              <w:t>&lt;---</w:t>
            </w:r>
          </w:p>
        </w:tc>
        <w:tc>
          <w:tcPr>
            <w:tcW w:w="0" w:type="auto"/>
            <w:tcBorders>
              <w:top w:val="single" w:sz="4" w:space="0" w:color="auto"/>
              <w:bottom w:val="single" w:sz="4" w:space="0" w:color="FFFFFF" w:themeColor="background1"/>
            </w:tcBorders>
            <w:tcMar>
              <w:top w:w="15" w:type="dxa"/>
              <w:left w:w="140" w:type="dxa"/>
              <w:bottom w:w="15" w:type="dxa"/>
              <w:right w:w="140" w:type="dxa"/>
            </w:tcMar>
            <w:vAlign w:val="center"/>
            <w:hideMark/>
          </w:tcPr>
          <w:p w14:paraId="189B984E" w14:textId="77777777" w:rsidR="00B76659" w:rsidRPr="008C06FE" w:rsidRDefault="00B76659" w:rsidP="00B76659">
            <w:r w:rsidRPr="008C06FE">
              <w:t>TE</w:t>
            </w:r>
          </w:p>
        </w:tc>
        <w:tc>
          <w:tcPr>
            <w:tcW w:w="0" w:type="auto"/>
            <w:tcBorders>
              <w:top w:val="single" w:sz="4" w:space="0" w:color="auto"/>
              <w:bottom w:val="single" w:sz="4" w:space="0" w:color="FFFFFF" w:themeColor="background1"/>
            </w:tcBorders>
            <w:noWrap/>
            <w:tcMar>
              <w:top w:w="15" w:type="dxa"/>
              <w:left w:w="140" w:type="dxa"/>
              <w:bottom w:w="15" w:type="dxa"/>
              <w:right w:w="140" w:type="dxa"/>
            </w:tcMar>
            <w:vAlign w:val="center"/>
            <w:hideMark/>
          </w:tcPr>
          <w:p w14:paraId="242EA362" w14:textId="77777777" w:rsidR="00B76659" w:rsidRPr="008C06FE" w:rsidRDefault="00B76659" w:rsidP="00B76659">
            <w:pPr>
              <w:jc w:val="right"/>
            </w:pPr>
            <w:r w:rsidRPr="008C06FE">
              <w:t>-.075</w:t>
            </w:r>
          </w:p>
        </w:tc>
      </w:tr>
      <w:tr w:rsidR="00B76659" w:rsidRPr="008C06FE" w14:paraId="438258EB" w14:textId="77777777" w:rsidTr="00B76659">
        <w:trPr>
          <w:trHeight w:val="244"/>
          <w:jc w:val="center"/>
        </w:trPr>
        <w:tc>
          <w:tcPr>
            <w:tcW w:w="0" w:type="auto"/>
            <w:tcBorders>
              <w:top w:val="single" w:sz="4" w:space="0" w:color="FFFFFF" w:themeColor="background1"/>
              <w:bottom w:val="single" w:sz="4" w:space="0" w:color="FFFFFF" w:themeColor="background1"/>
            </w:tcBorders>
            <w:tcMar>
              <w:top w:w="15" w:type="dxa"/>
              <w:left w:w="57" w:type="dxa"/>
              <w:bottom w:w="15" w:type="dxa"/>
              <w:right w:w="57" w:type="dxa"/>
            </w:tcMar>
            <w:vAlign w:val="center"/>
            <w:hideMark/>
          </w:tcPr>
          <w:p w14:paraId="796D3A24" w14:textId="77777777" w:rsidR="00B76659" w:rsidRPr="008C06FE" w:rsidRDefault="00B76659" w:rsidP="00B76659">
            <w:r w:rsidRPr="008C06FE">
              <w:t>TM</w:t>
            </w:r>
          </w:p>
        </w:tc>
        <w:tc>
          <w:tcPr>
            <w:tcW w:w="0" w:type="auto"/>
            <w:tcBorders>
              <w:top w:val="single" w:sz="4" w:space="0" w:color="FFFFFF" w:themeColor="background1"/>
              <w:bottom w:val="single" w:sz="4" w:space="0" w:color="FFFFFF" w:themeColor="background1"/>
            </w:tcBorders>
            <w:noWrap/>
            <w:tcMar>
              <w:top w:w="15" w:type="dxa"/>
              <w:left w:w="57" w:type="dxa"/>
              <w:bottom w:w="15" w:type="dxa"/>
              <w:right w:w="57" w:type="dxa"/>
            </w:tcMar>
            <w:vAlign w:val="center"/>
            <w:hideMark/>
          </w:tcPr>
          <w:p w14:paraId="6E5C6B24" w14:textId="77777777" w:rsidR="00B76659" w:rsidRPr="008C06FE" w:rsidRDefault="00B76659" w:rsidP="00B76659">
            <w:r w:rsidRPr="008C06FE">
              <w:t>&lt;---</w:t>
            </w:r>
          </w:p>
        </w:tc>
        <w:tc>
          <w:tcPr>
            <w:tcW w:w="0" w:type="auto"/>
            <w:tcBorders>
              <w:top w:val="single" w:sz="4" w:space="0" w:color="FFFFFF" w:themeColor="background1"/>
              <w:bottom w:val="single" w:sz="4" w:space="0" w:color="FFFFFF" w:themeColor="background1"/>
            </w:tcBorders>
            <w:tcMar>
              <w:top w:w="15" w:type="dxa"/>
              <w:left w:w="140" w:type="dxa"/>
              <w:bottom w:w="15" w:type="dxa"/>
              <w:right w:w="140" w:type="dxa"/>
            </w:tcMar>
            <w:vAlign w:val="center"/>
            <w:hideMark/>
          </w:tcPr>
          <w:p w14:paraId="6A872BDA" w14:textId="77777777" w:rsidR="00B76659" w:rsidRPr="008C06FE" w:rsidRDefault="00B76659" w:rsidP="00B76659">
            <w:r w:rsidRPr="008C06FE">
              <w:t>ER</w:t>
            </w:r>
          </w:p>
        </w:tc>
        <w:tc>
          <w:tcPr>
            <w:tcW w:w="0" w:type="auto"/>
            <w:tcBorders>
              <w:top w:val="single" w:sz="4" w:space="0" w:color="FFFFFF" w:themeColor="background1"/>
              <w:bottom w:val="single" w:sz="4" w:space="0" w:color="FFFFFF" w:themeColor="background1"/>
            </w:tcBorders>
            <w:tcMar>
              <w:top w:w="15" w:type="dxa"/>
              <w:left w:w="140" w:type="dxa"/>
              <w:bottom w:w="15" w:type="dxa"/>
              <w:right w:w="140" w:type="dxa"/>
            </w:tcMar>
            <w:vAlign w:val="center"/>
            <w:hideMark/>
          </w:tcPr>
          <w:p w14:paraId="5EAA3A10" w14:textId="77777777" w:rsidR="00B76659" w:rsidRPr="008C06FE" w:rsidRDefault="00B76659" w:rsidP="00B76659">
            <w:pPr>
              <w:jc w:val="right"/>
            </w:pPr>
            <w:r w:rsidRPr="008C06FE">
              <w:t>.185</w:t>
            </w:r>
          </w:p>
        </w:tc>
      </w:tr>
      <w:tr w:rsidR="00B76659" w:rsidRPr="008C06FE" w14:paraId="42C65E51" w14:textId="77777777" w:rsidTr="00B76659">
        <w:trPr>
          <w:trHeight w:val="223"/>
          <w:jc w:val="center"/>
        </w:trPr>
        <w:tc>
          <w:tcPr>
            <w:tcW w:w="0" w:type="auto"/>
            <w:tcBorders>
              <w:top w:val="single" w:sz="4" w:space="0" w:color="FFFFFF" w:themeColor="background1"/>
              <w:bottom w:val="single" w:sz="4" w:space="0" w:color="auto"/>
            </w:tcBorders>
            <w:tcMar>
              <w:top w:w="15" w:type="dxa"/>
              <w:left w:w="57" w:type="dxa"/>
              <w:bottom w:w="15" w:type="dxa"/>
              <w:right w:w="57" w:type="dxa"/>
            </w:tcMar>
            <w:vAlign w:val="center"/>
            <w:hideMark/>
          </w:tcPr>
          <w:p w14:paraId="7A9A18CB" w14:textId="77777777" w:rsidR="00B76659" w:rsidRPr="008C06FE" w:rsidRDefault="00B76659" w:rsidP="00B76659">
            <w:r w:rsidRPr="008C06FE">
              <w:t>TM</w:t>
            </w:r>
          </w:p>
        </w:tc>
        <w:tc>
          <w:tcPr>
            <w:tcW w:w="0" w:type="auto"/>
            <w:tcBorders>
              <w:top w:val="single" w:sz="4" w:space="0" w:color="FFFFFF" w:themeColor="background1"/>
              <w:bottom w:val="single" w:sz="4" w:space="0" w:color="auto"/>
            </w:tcBorders>
            <w:noWrap/>
            <w:tcMar>
              <w:top w:w="15" w:type="dxa"/>
              <w:left w:w="57" w:type="dxa"/>
              <w:bottom w:w="15" w:type="dxa"/>
              <w:right w:w="57" w:type="dxa"/>
            </w:tcMar>
            <w:vAlign w:val="center"/>
            <w:hideMark/>
          </w:tcPr>
          <w:p w14:paraId="04B61365" w14:textId="77777777" w:rsidR="00B76659" w:rsidRPr="008C06FE" w:rsidRDefault="00B76659" w:rsidP="00B76659">
            <w:r w:rsidRPr="008C06FE">
              <w:t>&lt;---</w:t>
            </w:r>
          </w:p>
        </w:tc>
        <w:tc>
          <w:tcPr>
            <w:tcW w:w="0" w:type="auto"/>
            <w:tcBorders>
              <w:top w:val="single" w:sz="4" w:space="0" w:color="FFFFFF" w:themeColor="background1"/>
              <w:bottom w:val="single" w:sz="4" w:space="0" w:color="auto"/>
            </w:tcBorders>
            <w:tcMar>
              <w:top w:w="15" w:type="dxa"/>
              <w:left w:w="140" w:type="dxa"/>
              <w:bottom w:w="15" w:type="dxa"/>
              <w:right w:w="140" w:type="dxa"/>
            </w:tcMar>
            <w:vAlign w:val="center"/>
            <w:hideMark/>
          </w:tcPr>
          <w:p w14:paraId="5812AFAE" w14:textId="77777777" w:rsidR="00B76659" w:rsidRPr="008C06FE" w:rsidRDefault="00B76659" w:rsidP="00B76659">
            <w:r w:rsidRPr="008C06FE">
              <w:t>WE</w:t>
            </w:r>
          </w:p>
        </w:tc>
        <w:tc>
          <w:tcPr>
            <w:tcW w:w="0" w:type="auto"/>
            <w:tcBorders>
              <w:top w:val="single" w:sz="4" w:space="0" w:color="FFFFFF" w:themeColor="background1"/>
              <w:bottom w:val="single" w:sz="4" w:space="0" w:color="auto"/>
            </w:tcBorders>
            <w:tcMar>
              <w:top w:w="15" w:type="dxa"/>
              <w:left w:w="140" w:type="dxa"/>
              <w:bottom w:w="15" w:type="dxa"/>
              <w:right w:w="140" w:type="dxa"/>
            </w:tcMar>
            <w:vAlign w:val="center"/>
            <w:hideMark/>
          </w:tcPr>
          <w:p w14:paraId="5FEA8392" w14:textId="77777777" w:rsidR="00B76659" w:rsidRPr="008C06FE" w:rsidRDefault="00B76659" w:rsidP="00B76659">
            <w:pPr>
              <w:jc w:val="right"/>
            </w:pPr>
            <w:r w:rsidRPr="008C06FE">
              <w:t>.983</w:t>
            </w:r>
          </w:p>
        </w:tc>
      </w:tr>
    </w:tbl>
    <w:bookmarkEnd w:id="10"/>
    <w:p w14:paraId="673E92AE" w14:textId="7116BA89" w:rsidR="00B76659" w:rsidRPr="00B76659" w:rsidRDefault="00B76659" w:rsidP="00B76659">
      <w:pPr>
        <w:pStyle w:val="Caption"/>
        <w:keepNext/>
        <w:spacing w:after="120"/>
        <w:jc w:val="center"/>
        <w:rPr>
          <w:i w:val="0"/>
          <w:iCs w:val="0"/>
          <w:color w:val="auto"/>
          <w:sz w:val="16"/>
          <w:szCs w:val="16"/>
        </w:rPr>
      </w:pPr>
      <w:r w:rsidRPr="00B76659">
        <w:rPr>
          <w:b/>
          <w:bCs w:val="0"/>
          <w:i w:val="0"/>
          <w:iCs w:val="0"/>
          <w:color w:val="auto"/>
          <w:sz w:val="16"/>
          <w:szCs w:val="16"/>
        </w:rPr>
        <w:t xml:space="preserve">Table </w:t>
      </w:r>
      <w:r w:rsidRPr="00B76659">
        <w:rPr>
          <w:b/>
          <w:bCs w:val="0"/>
          <w:i w:val="0"/>
          <w:iCs w:val="0"/>
          <w:color w:val="auto"/>
          <w:sz w:val="16"/>
          <w:szCs w:val="16"/>
        </w:rPr>
        <w:fldChar w:fldCharType="begin"/>
      </w:r>
      <w:r w:rsidRPr="00B76659">
        <w:rPr>
          <w:b/>
          <w:bCs w:val="0"/>
          <w:i w:val="0"/>
          <w:iCs w:val="0"/>
          <w:color w:val="auto"/>
          <w:sz w:val="16"/>
          <w:szCs w:val="16"/>
        </w:rPr>
        <w:instrText xml:space="preserve"> SEQ Table \* ARABIC </w:instrText>
      </w:r>
      <w:r w:rsidRPr="00B76659">
        <w:rPr>
          <w:b/>
          <w:bCs w:val="0"/>
          <w:i w:val="0"/>
          <w:iCs w:val="0"/>
          <w:color w:val="auto"/>
          <w:sz w:val="16"/>
          <w:szCs w:val="16"/>
        </w:rPr>
        <w:fldChar w:fldCharType="separate"/>
      </w:r>
      <w:r w:rsidR="00A128F0">
        <w:rPr>
          <w:b/>
          <w:bCs w:val="0"/>
          <w:i w:val="0"/>
          <w:iCs w:val="0"/>
          <w:noProof/>
          <w:color w:val="auto"/>
          <w:sz w:val="16"/>
          <w:szCs w:val="16"/>
        </w:rPr>
        <w:t>7</w:t>
      </w:r>
      <w:r w:rsidRPr="00B76659">
        <w:rPr>
          <w:b/>
          <w:bCs w:val="0"/>
          <w:i w:val="0"/>
          <w:iCs w:val="0"/>
          <w:color w:val="auto"/>
          <w:sz w:val="16"/>
          <w:szCs w:val="16"/>
        </w:rPr>
        <w:fldChar w:fldCharType="end"/>
      </w:r>
      <w:r w:rsidRPr="00B76659">
        <w:rPr>
          <w:b/>
          <w:bCs w:val="0"/>
          <w:i w:val="0"/>
          <w:iCs w:val="0"/>
          <w:color w:val="auto"/>
          <w:sz w:val="16"/>
          <w:szCs w:val="16"/>
        </w:rPr>
        <w:t>.</w:t>
      </w:r>
      <w:r w:rsidRPr="00B76659">
        <w:rPr>
          <w:i w:val="0"/>
          <w:iCs w:val="0"/>
          <w:color w:val="auto"/>
          <w:sz w:val="16"/>
          <w:szCs w:val="16"/>
        </w:rPr>
        <w:t xml:space="preserve"> Model Fit Summary of Iranian EFL Teachers’ TM</w:t>
      </w:r>
    </w:p>
    <w:tbl>
      <w:tblPr>
        <w:tblW w:w="6263" w:type="dxa"/>
        <w:jc w:val="center"/>
        <w:tblCellMar>
          <w:top w:w="15" w:type="dxa"/>
          <w:left w:w="15" w:type="dxa"/>
          <w:bottom w:w="15" w:type="dxa"/>
          <w:right w:w="15" w:type="dxa"/>
        </w:tblCellMar>
        <w:tblLook w:val="04A0" w:firstRow="1" w:lastRow="0" w:firstColumn="1" w:lastColumn="0" w:noHBand="0" w:noVBand="1"/>
      </w:tblPr>
      <w:tblGrid>
        <w:gridCol w:w="1642"/>
        <w:gridCol w:w="935"/>
        <w:gridCol w:w="1068"/>
        <w:gridCol w:w="616"/>
        <w:gridCol w:w="723"/>
        <w:gridCol w:w="1279"/>
      </w:tblGrid>
      <w:tr w:rsidR="00B76659" w:rsidRPr="008C06FE" w14:paraId="65109F6E" w14:textId="77777777" w:rsidTr="00B76659">
        <w:trPr>
          <w:trHeight w:val="245"/>
          <w:tblHeader/>
          <w:jc w:val="center"/>
        </w:trPr>
        <w:tc>
          <w:tcPr>
            <w:tcW w:w="0" w:type="auto"/>
            <w:tcBorders>
              <w:top w:val="single" w:sz="4" w:space="0" w:color="auto"/>
              <w:bottom w:val="single" w:sz="4" w:space="0" w:color="auto"/>
            </w:tcBorders>
            <w:tcMar>
              <w:top w:w="15" w:type="dxa"/>
              <w:left w:w="140" w:type="dxa"/>
              <w:bottom w:w="15" w:type="dxa"/>
              <w:right w:w="140" w:type="dxa"/>
            </w:tcMar>
            <w:vAlign w:val="center"/>
            <w:hideMark/>
          </w:tcPr>
          <w:p w14:paraId="7E4A080A" w14:textId="77777777" w:rsidR="00B76659" w:rsidRPr="008C06FE" w:rsidRDefault="00B76659" w:rsidP="00E73C30">
            <w:pPr>
              <w:jc w:val="left"/>
            </w:pPr>
            <w:bookmarkStart w:id="11" w:name="TABLE7"/>
            <w:r w:rsidRPr="008C06FE">
              <w:t>Model</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14:paraId="79237685" w14:textId="77777777" w:rsidR="00B76659" w:rsidRPr="008C06FE" w:rsidRDefault="00B76659" w:rsidP="00E73C30">
            <w:pPr>
              <w:jc w:val="left"/>
            </w:pPr>
            <w:r w:rsidRPr="008C06FE">
              <w:t>NPAR</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14:paraId="6086B524" w14:textId="77777777" w:rsidR="00B76659" w:rsidRPr="008C06FE" w:rsidRDefault="00B76659" w:rsidP="00E73C30">
            <w:pPr>
              <w:jc w:val="left"/>
            </w:pPr>
            <w:r w:rsidRPr="008C06FE">
              <w:t>CMIN</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14:paraId="2AE0046A" w14:textId="77777777" w:rsidR="00B76659" w:rsidRPr="008C06FE" w:rsidRDefault="00B76659" w:rsidP="00E73C30">
            <w:pPr>
              <w:jc w:val="left"/>
            </w:pPr>
            <w:r w:rsidRPr="008C06FE">
              <w:t>DF</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14:paraId="6F162448" w14:textId="77777777" w:rsidR="00B76659" w:rsidRPr="008C06FE" w:rsidRDefault="00B76659" w:rsidP="00E73C30">
            <w:pPr>
              <w:jc w:val="left"/>
            </w:pPr>
            <w:r w:rsidRPr="008C06FE">
              <w:t>P</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14:paraId="3F7ACCD3" w14:textId="77777777" w:rsidR="00B76659" w:rsidRPr="008C06FE" w:rsidRDefault="00B76659" w:rsidP="00E73C30">
            <w:pPr>
              <w:jc w:val="left"/>
            </w:pPr>
            <w:r w:rsidRPr="008C06FE">
              <w:t>CMIN/DF</w:t>
            </w:r>
          </w:p>
        </w:tc>
      </w:tr>
      <w:tr w:rsidR="00B76659" w:rsidRPr="008C06FE" w14:paraId="6C564667" w14:textId="77777777" w:rsidTr="00B76659">
        <w:trPr>
          <w:trHeight w:val="235"/>
          <w:jc w:val="center"/>
        </w:trPr>
        <w:tc>
          <w:tcPr>
            <w:tcW w:w="0" w:type="auto"/>
            <w:tcBorders>
              <w:top w:val="single" w:sz="4" w:space="0" w:color="auto"/>
              <w:bottom w:val="single" w:sz="4" w:space="0" w:color="auto"/>
            </w:tcBorders>
            <w:tcMar>
              <w:top w:w="15" w:type="dxa"/>
              <w:left w:w="140" w:type="dxa"/>
              <w:bottom w:w="15" w:type="dxa"/>
              <w:right w:w="140" w:type="dxa"/>
            </w:tcMar>
            <w:vAlign w:val="center"/>
            <w:hideMark/>
          </w:tcPr>
          <w:p w14:paraId="49C12490" w14:textId="77777777" w:rsidR="00B76659" w:rsidRPr="008C06FE" w:rsidRDefault="00B76659" w:rsidP="00E73C30">
            <w:pPr>
              <w:jc w:val="left"/>
            </w:pPr>
            <w:r w:rsidRPr="008C06FE">
              <w:t>Default model</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14:paraId="11A48DD8" w14:textId="77777777" w:rsidR="00B76659" w:rsidRPr="008C06FE" w:rsidRDefault="00B76659" w:rsidP="00E73C30">
            <w:pPr>
              <w:jc w:val="left"/>
            </w:pPr>
            <w:r w:rsidRPr="008C06FE">
              <w:t>39</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14:paraId="70E24FAA" w14:textId="77777777" w:rsidR="00B76659" w:rsidRPr="008C06FE" w:rsidRDefault="00B76659" w:rsidP="00E73C30">
            <w:pPr>
              <w:jc w:val="left"/>
            </w:pPr>
            <w:r w:rsidRPr="008C06FE">
              <w:t>279.801</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14:paraId="35170F70" w14:textId="77777777" w:rsidR="00B76659" w:rsidRPr="008C06FE" w:rsidRDefault="00B76659" w:rsidP="00E73C30">
            <w:pPr>
              <w:jc w:val="left"/>
            </w:pPr>
            <w:r w:rsidRPr="008C06FE">
              <w:t>51</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14:paraId="50B81E11" w14:textId="77777777" w:rsidR="00B76659" w:rsidRPr="008C06FE" w:rsidRDefault="00B76659" w:rsidP="00E73C30">
            <w:pPr>
              <w:jc w:val="left"/>
            </w:pPr>
            <w:r w:rsidRPr="008C06FE">
              <w:t>.187</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14:paraId="42665EF9" w14:textId="77777777" w:rsidR="00B76659" w:rsidRPr="008C06FE" w:rsidRDefault="00B76659" w:rsidP="00E73C30">
            <w:pPr>
              <w:jc w:val="left"/>
            </w:pPr>
            <w:r w:rsidRPr="008C06FE">
              <w:t>2.486</w:t>
            </w:r>
          </w:p>
        </w:tc>
      </w:tr>
      <w:bookmarkEnd w:id="11"/>
    </w:tbl>
    <w:p w14:paraId="3F53BA15" w14:textId="6F76DD2C" w:rsidR="00B76659" w:rsidRDefault="00B76659" w:rsidP="00374332">
      <w:pPr>
        <w:spacing w:line="276" w:lineRule="auto"/>
      </w:pPr>
    </w:p>
    <w:p w14:paraId="12A83CC1" w14:textId="7BBCF324" w:rsidR="00B76659" w:rsidRPr="00B76659" w:rsidRDefault="00B76659" w:rsidP="00B76659">
      <w:pPr>
        <w:pStyle w:val="Caption"/>
        <w:keepNext/>
        <w:spacing w:after="120"/>
        <w:jc w:val="center"/>
        <w:rPr>
          <w:i w:val="0"/>
          <w:iCs w:val="0"/>
          <w:color w:val="auto"/>
          <w:sz w:val="16"/>
          <w:szCs w:val="16"/>
        </w:rPr>
      </w:pPr>
      <w:r w:rsidRPr="00B76659">
        <w:rPr>
          <w:b/>
          <w:bCs w:val="0"/>
          <w:i w:val="0"/>
          <w:iCs w:val="0"/>
          <w:color w:val="auto"/>
          <w:sz w:val="16"/>
          <w:szCs w:val="16"/>
        </w:rPr>
        <w:t xml:space="preserve">Table </w:t>
      </w:r>
      <w:r w:rsidRPr="00B76659">
        <w:rPr>
          <w:b/>
          <w:bCs w:val="0"/>
          <w:i w:val="0"/>
          <w:iCs w:val="0"/>
          <w:color w:val="auto"/>
          <w:sz w:val="16"/>
          <w:szCs w:val="16"/>
        </w:rPr>
        <w:fldChar w:fldCharType="begin"/>
      </w:r>
      <w:r w:rsidRPr="00B76659">
        <w:rPr>
          <w:b/>
          <w:bCs w:val="0"/>
          <w:i w:val="0"/>
          <w:iCs w:val="0"/>
          <w:color w:val="auto"/>
          <w:sz w:val="16"/>
          <w:szCs w:val="16"/>
        </w:rPr>
        <w:instrText xml:space="preserve"> SEQ Table \* ARABIC </w:instrText>
      </w:r>
      <w:r w:rsidRPr="00B76659">
        <w:rPr>
          <w:b/>
          <w:bCs w:val="0"/>
          <w:i w:val="0"/>
          <w:iCs w:val="0"/>
          <w:color w:val="auto"/>
          <w:sz w:val="16"/>
          <w:szCs w:val="16"/>
        </w:rPr>
        <w:fldChar w:fldCharType="separate"/>
      </w:r>
      <w:r w:rsidR="00A128F0">
        <w:rPr>
          <w:b/>
          <w:bCs w:val="0"/>
          <w:i w:val="0"/>
          <w:iCs w:val="0"/>
          <w:noProof/>
          <w:color w:val="auto"/>
          <w:sz w:val="16"/>
          <w:szCs w:val="16"/>
        </w:rPr>
        <w:t>8</w:t>
      </w:r>
      <w:r w:rsidRPr="00B76659">
        <w:rPr>
          <w:b/>
          <w:bCs w:val="0"/>
          <w:i w:val="0"/>
          <w:iCs w:val="0"/>
          <w:color w:val="auto"/>
          <w:sz w:val="16"/>
          <w:szCs w:val="16"/>
        </w:rPr>
        <w:fldChar w:fldCharType="end"/>
      </w:r>
      <w:r w:rsidRPr="00B76659">
        <w:rPr>
          <w:b/>
          <w:bCs w:val="0"/>
          <w:i w:val="0"/>
          <w:iCs w:val="0"/>
          <w:color w:val="auto"/>
          <w:sz w:val="16"/>
          <w:szCs w:val="16"/>
        </w:rPr>
        <w:t>.</w:t>
      </w:r>
      <w:r w:rsidRPr="00B76659">
        <w:rPr>
          <w:i w:val="0"/>
          <w:iCs w:val="0"/>
          <w:color w:val="auto"/>
          <w:sz w:val="16"/>
          <w:szCs w:val="16"/>
        </w:rPr>
        <w:t xml:space="preserve"> Baseline Comparisons of Iranian EFL Teachers’ PD</w:t>
      </w:r>
    </w:p>
    <w:tbl>
      <w:tblPr>
        <w:tblW w:w="5387" w:type="dxa"/>
        <w:jc w:val="center"/>
        <w:tblCellMar>
          <w:top w:w="15" w:type="dxa"/>
          <w:left w:w="15" w:type="dxa"/>
          <w:bottom w:w="15" w:type="dxa"/>
          <w:right w:w="15" w:type="dxa"/>
        </w:tblCellMar>
        <w:tblLook w:val="04A0" w:firstRow="1" w:lastRow="0" w:firstColumn="1" w:lastColumn="0" w:noHBand="0" w:noVBand="1"/>
      </w:tblPr>
      <w:tblGrid>
        <w:gridCol w:w="2351"/>
        <w:gridCol w:w="1338"/>
        <w:gridCol w:w="1063"/>
        <w:gridCol w:w="635"/>
      </w:tblGrid>
      <w:tr w:rsidR="00B76659" w:rsidRPr="008C06FE" w14:paraId="219C759D" w14:textId="77777777" w:rsidTr="00E73C30">
        <w:trPr>
          <w:trHeight w:val="406"/>
          <w:tblHeader/>
          <w:jc w:val="center"/>
        </w:trPr>
        <w:tc>
          <w:tcPr>
            <w:tcW w:w="0" w:type="auto"/>
            <w:tcBorders>
              <w:top w:val="single" w:sz="4" w:space="0" w:color="auto"/>
              <w:bottom w:val="single" w:sz="4" w:space="0" w:color="auto"/>
            </w:tcBorders>
            <w:tcMar>
              <w:top w:w="15" w:type="dxa"/>
              <w:left w:w="140" w:type="dxa"/>
              <w:bottom w:w="15" w:type="dxa"/>
              <w:right w:w="140" w:type="dxa"/>
            </w:tcMar>
            <w:vAlign w:val="center"/>
            <w:hideMark/>
          </w:tcPr>
          <w:p w14:paraId="68DF5FCD" w14:textId="77777777" w:rsidR="00B76659" w:rsidRPr="008C06FE" w:rsidRDefault="00B76659" w:rsidP="00B76659">
            <w:pPr>
              <w:jc w:val="left"/>
            </w:pPr>
            <w:bookmarkStart w:id="12" w:name="TABLE8"/>
            <w:r w:rsidRPr="008C06FE">
              <w:t>Model</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14:paraId="5C6B26D8" w14:textId="77777777" w:rsidR="00B76659" w:rsidRPr="008C06FE" w:rsidRDefault="00B76659" w:rsidP="00B76659">
            <w:pPr>
              <w:jc w:val="left"/>
            </w:pPr>
            <w:r w:rsidRPr="008C06FE">
              <w:t>IFI</w:t>
            </w:r>
            <w:r w:rsidRPr="008C06FE">
              <w:br/>
              <w:t>Delta2</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14:paraId="15BE117A" w14:textId="77777777" w:rsidR="00B76659" w:rsidRPr="008C06FE" w:rsidRDefault="00B76659" w:rsidP="00B76659">
            <w:pPr>
              <w:jc w:val="left"/>
            </w:pPr>
            <w:r w:rsidRPr="008C06FE">
              <w:t>TLI</w:t>
            </w:r>
            <w:r w:rsidRPr="008C06FE">
              <w:br/>
              <w:t>rho2</w:t>
            </w:r>
          </w:p>
        </w:tc>
        <w:tc>
          <w:tcPr>
            <w:tcW w:w="635" w:type="dxa"/>
            <w:tcBorders>
              <w:top w:val="single" w:sz="4" w:space="0" w:color="auto"/>
              <w:bottom w:val="single" w:sz="4" w:space="0" w:color="auto"/>
            </w:tcBorders>
            <w:tcMar>
              <w:top w:w="15" w:type="dxa"/>
              <w:left w:w="140" w:type="dxa"/>
              <w:bottom w:w="15" w:type="dxa"/>
              <w:right w:w="140" w:type="dxa"/>
            </w:tcMar>
            <w:vAlign w:val="center"/>
            <w:hideMark/>
          </w:tcPr>
          <w:p w14:paraId="37B1231A" w14:textId="77777777" w:rsidR="00B76659" w:rsidRPr="008C06FE" w:rsidRDefault="00B76659" w:rsidP="00B76659">
            <w:pPr>
              <w:jc w:val="left"/>
            </w:pPr>
            <w:r w:rsidRPr="008C06FE">
              <w:t>CFI</w:t>
            </w:r>
          </w:p>
        </w:tc>
      </w:tr>
      <w:tr w:rsidR="00B76659" w:rsidRPr="008C06FE" w14:paraId="4518B86E" w14:textId="77777777" w:rsidTr="00E73C30">
        <w:trPr>
          <w:trHeight w:val="303"/>
          <w:jc w:val="center"/>
        </w:trPr>
        <w:tc>
          <w:tcPr>
            <w:tcW w:w="0" w:type="auto"/>
            <w:tcBorders>
              <w:top w:val="single" w:sz="4" w:space="0" w:color="auto"/>
              <w:bottom w:val="single" w:sz="4" w:space="0" w:color="auto"/>
            </w:tcBorders>
            <w:tcMar>
              <w:top w:w="15" w:type="dxa"/>
              <w:left w:w="140" w:type="dxa"/>
              <w:bottom w:w="15" w:type="dxa"/>
              <w:right w:w="140" w:type="dxa"/>
            </w:tcMar>
            <w:vAlign w:val="center"/>
            <w:hideMark/>
          </w:tcPr>
          <w:p w14:paraId="0A58C15C" w14:textId="77777777" w:rsidR="00B76659" w:rsidRPr="008C06FE" w:rsidRDefault="00B76659" w:rsidP="00B76659">
            <w:pPr>
              <w:jc w:val="left"/>
            </w:pPr>
            <w:r w:rsidRPr="008C06FE">
              <w:t>Default model</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14:paraId="09FE982E" w14:textId="77777777" w:rsidR="00B76659" w:rsidRPr="008C06FE" w:rsidRDefault="00B76659" w:rsidP="00B76659">
            <w:pPr>
              <w:jc w:val="left"/>
            </w:pPr>
            <w:r w:rsidRPr="008C06FE">
              <w:t>.925</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14:paraId="0720C134" w14:textId="77777777" w:rsidR="00B76659" w:rsidRPr="008C06FE" w:rsidRDefault="00B76659" w:rsidP="00B76659">
            <w:pPr>
              <w:jc w:val="left"/>
            </w:pPr>
            <w:r w:rsidRPr="008C06FE">
              <w:t>.937</w:t>
            </w:r>
          </w:p>
        </w:tc>
        <w:tc>
          <w:tcPr>
            <w:tcW w:w="635" w:type="dxa"/>
            <w:tcBorders>
              <w:top w:val="single" w:sz="4" w:space="0" w:color="auto"/>
              <w:bottom w:val="single" w:sz="4" w:space="0" w:color="auto"/>
            </w:tcBorders>
            <w:tcMar>
              <w:top w:w="15" w:type="dxa"/>
              <w:left w:w="140" w:type="dxa"/>
              <w:bottom w:w="15" w:type="dxa"/>
              <w:right w:w="140" w:type="dxa"/>
            </w:tcMar>
            <w:vAlign w:val="center"/>
            <w:hideMark/>
          </w:tcPr>
          <w:p w14:paraId="0EA0ACFA" w14:textId="77777777" w:rsidR="00B76659" w:rsidRPr="008C06FE" w:rsidRDefault="00B76659" w:rsidP="00B76659">
            <w:pPr>
              <w:jc w:val="left"/>
            </w:pPr>
            <w:r w:rsidRPr="008C06FE">
              <w:t>.920</w:t>
            </w:r>
          </w:p>
        </w:tc>
      </w:tr>
      <w:bookmarkEnd w:id="12"/>
    </w:tbl>
    <w:p w14:paraId="3E0FC29E" w14:textId="6EDFDA4A" w:rsidR="00B76659" w:rsidRDefault="00B76659" w:rsidP="00374332">
      <w:pPr>
        <w:spacing w:line="276" w:lineRule="auto"/>
      </w:pPr>
    </w:p>
    <w:p w14:paraId="2D9D3EC2" w14:textId="40DE0586" w:rsidR="00E73C30" w:rsidRPr="00E73C30" w:rsidRDefault="00E73C30" w:rsidP="00E73C30">
      <w:pPr>
        <w:pStyle w:val="Caption"/>
        <w:keepNext/>
        <w:spacing w:after="120"/>
        <w:jc w:val="center"/>
        <w:rPr>
          <w:i w:val="0"/>
          <w:iCs w:val="0"/>
          <w:color w:val="auto"/>
          <w:sz w:val="16"/>
          <w:szCs w:val="16"/>
        </w:rPr>
      </w:pPr>
      <w:r w:rsidRPr="00E73C30">
        <w:rPr>
          <w:b/>
          <w:bCs w:val="0"/>
          <w:i w:val="0"/>
          <w:iCs w:val="0"/>
          <w:color w:val="auto"/>
          <w:sz w:val="16"/>
          <w:szCs w:val="16"/>
        </w:rPr>
        <w:t xml:space="preserve">Table </w:t>
      </w:r>
      <w:r w:rsidRPr="00E73C30">
        <w:rPr>
          <w:b/>
          <w:bCs w:val="0"/>
          <w:i w:val="0"/>
          <w:iCs w:val="0"/>
          <w:color w:val="auto"/>
          <w:sz w:val="16"/>
          <w:szCs w:val="16"/>
        </w:rPr>
        <w:fldChar w:fldCharType="begin"/>
      </w:r>
      <w:r w:rsidRPr="00E73C30">
        <w:rPr>
          <w:b/>
          <w:bCs w:val="0"/>
          <w:i w:val="0"/>
          <w:iCs w:val="0"/>
          <w:color w:val="auto"/>
          <w:sz w:val="16"/>
          <w:szCs w:val="16"/>
        </w:rPr>
        <w:instrText xml:space="preserve"> SEQ Table \* ARABIC </w:instrText>
      </w:r>
      <w:r w:rsidRPr="00E73C30">
        <w:rPr>
          <w:b/>
          <w:bCs w:val="0"/>
          <w:i w:val="0"/>
          <w:iCs w:val="0"/>
          <w:color w:val="auto"/>
          <w:sz w:val="16"/>
          <w:szCs w:val="16"/>
        </w:rPr>
        <w:fldChar w:fldCharType="separate"/>
      </w:r>
      <w:r w:rsidR="00A128F0">
        <w:rPr>
          <w:b/>
          <w:bCs w:val="0"/>
          <w:i w:val="0"/>
          <w:iCs w:val="0"/>
          <w:noProof/>
          <w:color w:val="auto"/>
          <w:sz w:val="16"/>
          <w:szCs w:val="16"/>
        </w:rPr>
        <w:t>9</w:t>
      </w:r>
      <w:r w:rsidRPr="00E73C30">
        <w:rPr>
          <w:b/>
          <w:bCs w:val="0"/>
          <w:i w:val="0"/>
          <w:iCs w:val="0"/>
          <w:color w:val="auto"/>
          <w:sz w:val="16"/>
          <w:szCs w:val="16"/>
        </w:rPr>
        <w:fldChar w:fldCharType="end"/>
      </w:r>
      <w:r w:rsidRPr="00E73C30">
        <w:rPr>
          <w:b/>
          <w:bCs w:val="0"/>
          <w:i w:val="0"/>
          <w:iCs w:val="0"/>
          <w:color w:val="auto"/>
          <w:sz w:val="16"/>
          <w:szCs w:val="16"/>
        </w:rPr>
        <w:t>.</w:t>
      </w:r>
      <w:r w:rsidRPr="00E73C30">
        <w:rPr>
          <w:i w:val="0"/>
          <w:iCs w:val="0"/>
          <w:color w:val="auto"/>
          <w:sz w:val="16"/>
          <w:szCs w:val="16"/>
        </w:rPr>
        <w:t xml:space="preserve"> Descriptive Statistics on German and Iranian Teachers’ TM</w:t>
      </w:r>
    </w:p>
    <w:tbl>
      <w:tblPr>
        <w:tblW w:w="5103" w:type="dxa"/>
        <w:jc w:val="center"/>
        <w:tblLayout w:type="fixed"/>
        <w:tblCellMar>
          <w:left w:w="0" w:type="dxa"/>
          <w:right w:w="0" w:type="dxa"/>
        </w:tblCellMar>
        <w:tblLook w:val="0000" w:firstRow="0" w:lastRow="0" w:firstColumn="0" w:lastColumn="0" w:noHBand="0" w:noVBand="0"/>
      </w:tblPr>
      <w:tblGrid>
        <w:gridCol w:w="1086"/>
        <w:gridCol w:w="969"/>
        <w:gridCol w:w="969"/>
        <w:gridCol w:w="1361"/>
        <w:gridCol w:w="718"/>
      </w:tblGrid>
      <w:tr w:rsidR="00B76659" w:rsidRPr="008C06FE" w14:paraId="60477068" w14:textId="77777777" w:rsidTr="00E73C30">
        <w:trPr>
          <w:cantSplit/>
          <w:trHeight w:val="405"/>
          <w:jc w:val="center"/>
        </w:trPr>
        <w:tc>
          <w:tcPr>
            <w:tcW w:w="1086" w:type="dxa"/>
            <w:tcBorders>
              <w:top w:val="single" w:sz="4" w:space="0" w:color="auto"/>
              <w:bottom w:val="single" w:sz="4" w:space="0" w:color="auto"/>
            </w:tcBorders>
            <w:shd w:val="clear" w:color="auto" w:fill="FFFFFF"/>
            <w:vAlign w:val="bottom"/>
          </w:tcPr>
          <w:p w14:paraId="00B9ABD5" w14:textId="77777777" w:rsidR="00B76659" w:rsidRPr="008C06FE" w:rsidRDefault="00B76659" w:rsidP="00E73C30">
            <w:pPr>
              <w:autoSpaceDE w:val="0"/>
              <w:autoSpaceDN w:val="0"/>
              <w:adjustRightInd w:val="0"/>
              <w:ind w:left="60" w:right="60"/>
              <w:jc w:val="left"/>
            </w:pPr>
            <w:bookmarkStart w:id="13" w:name="TABLE9"/>
            <w:r w:rsidRPr="008C06FE">
              <w:t>Groups</w:t>
            </w:r>
          </w:p>
        </w:tc>
        <w:tc>
          <w:tcPr>
            <w:tcW w:w="969" w:type="dxa"/>
            <w:tcBorders>
              <w:top w:val="single" w:sz="4" w:space="0" w:color="auto"/>
              <w:bottom w:val="single" w:sz="4" w:space="0" w:color="auto"/>
            </w:tcBorders>
            <w:shd w:val="clear" w:color="auto" w:fill="FFFFFF"/>
            <w:vAlign w:val="bottom"/>
          </w:tcPr>
          <w:p w14:paraId="6E01C725" w14:textId="77777777" w:rsidR="00B76659" w:rsidRPr="008C06FE" w:rsidRDefault="00B76659" w:rsidP="00E73C30">
            <w:pPr>
              <w:autoSpaceDE w:val="0"/>
              <w:autoSpaceDN w:val="0"/>
              <w:adjustRightInd w:val="0"/>
              <w:ind w:left="60" w:right="60"/>
              <w:jc w:val="left"/>
            </w:pPr>
            <w:r w:rsidRPr="008C06FE">
              <w:t>N</w:t>
            </w:r>
          </w:p>
        </w:tc>
        <w:tc>
          <w:tcPr>
            <w:tcW w:w="969" w:type="dxa"/>
            <w:tcBorders>
              <w:top w:val="single" w:sz="4" w:space="0" w:color="auto"/>
              <w:bottom w:val="single" w:sz="4" w:space="0" w:color="auto"/>
            </w:tcBorders>
            <w:shd w:val="clear" w:color="auto" w:fill="FFFFFF"/>
            <w:vAlign w:val="bottom"/>
          </w:tcPr>
          <w:p w14:paraId="5541BC32" w14:textId="77777777" w:rsidR="00B76659" w:rsidRPr="008C06FE" w:rsidRDefault="00B76659" w:rsidP="00E73C30">
            <w:pPr>
              <w:autoSpaceDE w:val="0"/>
              <w:autoSpaceDN w:val="0"/>
              <w:adjustRightInd w:val="0"/>
              <w:ind w:left="60" w:right="60"/>
              <w:jc w:val="left"/>
            </w:pPr>
            <w:r w:rsidRPr="008C06FE">
              <w:t>M</w:t>
            </w:r>
          </w:p>
        </w:tc>
        <w:tc>
          <w:tcPr>
            <w:tcW w:w="1361" w:type="dxa"/>
            <w:tcBorders>
              <w:top w:val="single" w:sz="4" w:space="0" w:color="auto"/>
              <w:bottom w:val="single" w:sz="4" w:space="0" w:color="auto"/>
            </w:tcBorders>
            <w:shd w:val="clear" w:color="auto" w:fill="FFFFFF"/>
            <w:vAlign w:val="bottom"/>
          </w:tcPr>
          <w:p w14:paraId="55DDA2CE" w14:textId="77777777" w:rsidR="00B76659" w:rsidRPr="008C06FE" w:rsidRDefault="00B76659" w:rsidP="00E73C30">
            <w:pPr>
              <w:autoSpaceDE w:val="0"/>
              <w:autoSpaceDN w:val="0"/>
              <w:adjustRightInd w:val="0"/>
              <w:ind w:left="60" w:right="60"/>
              <w:jc w:val="left"/>
            </w:pPr>
            <w:r w:rsidRPr="008C06FE">
              <w:t>SD</w:t>
            </w:r>
          </w:p>
        </w:tc>
        <w:tc>
          <w:tcPr>
            <w:tcW w:w="718" w:type="dxa"/>
            <w:tcBorders>
              <w:top w:val="single" w:sz="4" w:space="0" w:color="auto"/>
              <w:bottom w:val="single" w:sz="4" w:space="0" w:color="auto"/>
            </w:tcBorders>
            <w:shd w:val="clear" w:color="auto" w:fill="FFFFFF"/>
            <w:vAlign w:val="bottom"/>
          </w:tcPr>
          <w:p w14:paraId="32BB8E1B" w14:textId="77777777" w:rsidR="00B76659" w:rsidRPr="008C06FE" w:rsidRDefault="00B76659" w:rsidP="00E73C30">
            <w:pPr>
              <w:autoSpaceDE w:val="0"/>
              <w:autoSpaceDN w:val="0"/>
              <w:adjustRightInd w:val="0"/>
              <w:ind w:left="60" w:right="60"/>
              <w:jc w:val="left"/>
            </w:pPr>
            <w:r w:rsidRPr="008C06FE">
              <w:t>SEM</w:t>
            </w:r>
          </w:p>
        </w:tc>
      </w:tr>
      <w:tr w:rsidR="00B76659" w:rsidRPr="008C06FE" w14:paraId="0E5A644B" w14:textId="77777777" w:rsidTr="00E73C30">
        <w:trPr>
          <w:cantSplit/>
          <w:trHeight w:val="390"/>
          <w:jc w:val="center"/>
        </w:trPr>
        <w:tc>
          <w:tcPr>
            <w:tcW w:w="1086" w:type="dxa"/>
            <w:tcBorders>
              <w:top w:val="single" w:sz="4" w:space="0" w:color="auto"/>
              <w:bottom w:val="single" w:sz="4" w:space="0" w:color="auto"/>
            </w:tcBorders>
            <w:shd w:val="clear" w:color="auto" w:fill="FFFFFF" w:themeFill="background1"/>
          </w:tcPr>
          <w:p w14:paraId="2FB03460" w14:textId="77777777" w:rsidR="00B76659" w:rsidRPr="008C06FE" w:rsidRDefault="00B76659" w:rsidP="00E73C30">
            <w:pPr>
              <w:autoSpaceDE w:val="0"/>
              <w:autoSpaceDN w:val="0"/>
              <w:adjustRightInd w:val="0"/>
              <w:ind w:left="60" w:right="60"/>
              <w:jc w:val="left"/>
            </w:pPr>
            <w:r w:rsidRPr="008C06FE">
              <w:t>German Teachers</w:t>
            </w:r>
          </w:p>
        </w:tc>
        <w:tc>
          <w:tcPr>
            <w:tcW w:w="969" w:type="dxa"/>
            <w:tcBorders>
              <w:top w:val="single" w:sz="4" w:space="0" w:color="auto"/>
              <w:bottom w:val="single" w:sz="4" w:space="0" w:color="auto"/>
            </w:tcBorders>
            <w:shd w:val="clear" w:color="auto" w:fill="FFFFFF"/>
          </w:tcPr>
          <w:p w14:paraId="15D6249D" w14:textId="77777777" w:rsidR="00B76659" w:rsidRPr="008C06FE" w:rsidRDefault="00B76659" w:rsidP="00E73C30">
            <w:pPr>
              <w:autoSpaceDE w:val="0"/>
              <w:autoSpaceDN w:val="0"/>
              <w:adjustRightInd w:val="0"/>
              <w:ind w:left="60" w:right="60"/>
              <w:jc w:val="left"/>
            </w:pPr>
            <w:r w:rsidRPr="008C06FE">
              <w:t>281</w:t>
            </w:r>
          </w:p>
        </w:tc>
        <w:tc>
          <w:tcPr>
            <w:tcW w:w="969" w:type="dxa"/>
            <w:tcBorders>
              <w:top w:val="single" w:sz="4" w:space="0" w:color="auto"/>
              <w:bottom w:val="single" w:sz="4" w:space="0" w:color="auto"/>
            </w:tcBorders>
            <w:shd w:val="clear" w:color="auto" w:fill="FFFFFF"/>
          </w:tcPr>
          <w:p w14:paraId="5347576D" w14:textId="77777777" w:rsidR="00B76659" w:rsidRPr="008C06FE" w:rsidRDefault="00B76659" w:rsidP="00E73C30">
            <w:pPr>
              <w:autoSpaceDE w:val="0"/>
              <w:autoSpaceDN w:val="0"/>
              <w:adjustRightInd w:val="0"/>
              <w:ind w:left="60" w:right="60"/>
              <w:jc w:val="left"/>
            </w:pPr>
            <w:r w:rsidRPr="008C06FE">
              <w:t>60.54</w:t>
            </w:r>
          </w:p>
        </w:tc>
        <w:tc>
          <w:tcPr>
            <w:tcW w:w="1361" w:type="dxa"/>
            <w:tcBorders>
              <w:top w:val="single" w:sz="4" w:space="0" w:color="auto"/>
              <w:bottom w:val="single" w:sz="4" w:space="0" w:color="auto"/>
            </w:tcBorders>
            <w:shd w:val="clear" w:color="auto" w:fill="FFFFFF"/>
          </w:tcPr>
          <w:p w14:paraId="72F1D9DE" w14:textId="77777777" w:rsidR="00B76659" w:rsidRPr="008C06FE" w:rsidRDefault="00B76659" w:rsidP="00E73C30">
            <w:pPr>
              <w:autoSpaceDE w:val="0"/>
              <w:autoSpaceDN w:val="0"/>
              <w:adjustRightInd w:val="0"/>
              <w:ind w:left="60" w:right="60"/>
              <w:jc w:val="left"/>
            </w:pPr>
            <w:r w:rsidRPr="008C06FE">
              <w:t>12.955</w:t>
            </w:r>
          </w:p>
        </w:tc>
        <w:tc>
          <w:tcPr>
            <w:tcW w:w="718" w:type="dxa"/>
            <w:tcBorders>
              <w:top w:val="single" w:sz="4" w:space="0" w:color="auto"/>
              <w:bottom w:val="single" w:sz="4" w:space="0" w:color="auto"/>
            </w:tcBorders>
            <w:shd w:val="clear" w:color="auto" w:fill="FFFFFF"/>
          </w:tcPr>
          <w:p w14:paraId="434021B8" w14:textId="77777777" w:rsidR="00B76659" w:rsidRPr="008C06FE" w:rsidRDefault="00B76659" w:rsidP="00E73C30">
            <w:pPr>
              <w:autoSpaceDE w:val="0"/>
              <w:autoSpaceDN w:val="0"/>
              <w:adjustRightInd w:val="0"/>
              <w:ind w:left="60" w:right="60"/>
              <w:jc w:val="left"/>
            </w:pPr>
            <w:r w:rsidRPr="008C06FE">
              <w:t>.770</w:t>
            </w:r>
          </w:p>
        </w:tc>
      </w:tr>
      <w:tr w:rsidR="00B76659" w:rsidRPr="008C06FE" w14:paraId="469A7F37" w14:textId="77777777" w:rsidTr="00E73C30">
        <w:trPr>
          <w:cantSplit/>
          <w:trHeight w:val="390"/>
          <w:jc w:val="center"/>
        </w:trPr>
        <w:tc>
          <w:tcPr>
            <w:tcW w:w="1086" w:type="dxa"/>
            <w:tcBorders>
              <w:top w:val="single" w:sz="4" w:space="0" w:color="auto"/>
              <w:bottom w:val="single" w:sz="4" w:space="0" w:color="auto"/>
            </w:tcBorders>
            <w:shd w:val="clear" w:color="auto" w:fill="FFFFFF" w:themeFill="background1"/>
          </w:tcPr>
          <w:p w14:paraId="3CC6398F" w14:textId="77777777" w:rsidR="00B76659" w:rsidRPr="008C06FE" w:rsidRDefault="00B76659" w:rsidP="00E73C30">
            <w:pPr>
              <w:autoSpaceDE w:val="0"/>
              <w:autoSpaceDN w:val="0"/>
              <w:adjustRightInd w:val="0"/>
              <w:ind w:left="60" w:right="60"/>
              <w:jc w:val="left"/>
            </w:pPr>
            <w:r w:rsidRPr="008C06FE">
              <w:t>Iranian Teachers</w:t>
            </w:r>
          </w:p>
        </w:tc>
        <w:tc>
          <w:tcPr>
            <w:tcW w:w="969" w:type="dxa"/>
            <w:tcBorders>
              <w:top w:val="single" w:sz="4" w:space="0" w:color="auto"/>
              <w:bottom w:val="single" w:sz="4" w:space="0" w:color="auto"/>
            </w:tcBorders>
            <w:shd w:val="clear" w:color="auto" w:fill="FFFFFF"/>
          </w:tcPr>
          <w:p w14:paraId="1B9AF227" w14:textId="77777777" w:rsidR="00B76659" w:rsidRPr="008C06FE" w:rsidRDefault="00B76659" w:rsidP="00E73C30">
            <w:pPr>
              <w:autoSpaceDE w:val="0"/>
              <w:autoSpaceDN w:val="0"/>
              <w:adjustRightInd w:val="0"/>
              <w:ind w:left="60" w:right="60"/>
              <w:jc w:val="left"/>
            </w:pPr>
            <w:r w:rsidRPr="008C06FE">
              <w:t>231</w:t>
            </w:r>
          </w:p>
        </w:tc>
        <w:tc>
          <w:tcPr>
            <w:tcW w:w="969" w:type="dxa"/>
            <w:tcBorders>
              <w:top w:val="single" w:sz="4" w:space="0" w:color="auto"/>
              <w:bottom w:val="single" w:sz="4" w:space="0" w:color="auto"/>
            </w:tcBorders>
            <w:shd w:val="clear" w:color="auto" w:fill="FFFFFF"/>
          </w:tcPr>
          <w:p w14:paraId="2248756C" w14:textId="77777777" w:rsidR="00B76659" w:rsidRPr="008C06FE" w:rsidRDefault="00B76659" w:rsidP="00E73C30">
            <w:pPr>
              <w:autoSpaceDE w:val="0"/>
              <w:autoSpaceDN w:val="0"/>
              <w:adjustRightInd w:val="0"/>
              <w:ind w:left="60" w:right="60"/>
              <w:jc w:val="left"/>
            </w:pPr>
            <w:r w:rsidRPr="008C06FE">
              <w:t>53.03</w:t>
            </w:r>
          </w:p>
        </w:tc>
        <w:tc>
          <w:tcPr>
            <w:tcW w:w="1361" w:type="dxa"/>
            <w:tcBorders>
              <w:top w:val="single" w:sz="4" w:space="0" w:color="auto"/>
              <w:bottom w:val="single" w:sz="4" w:space="0" w:color="auto"/>
            </w:tcBorders>
            <w:shd w:val="clear" w:color="auto" w:fill="FFFFFF"/>
          </w:tcPr>
          <w:p w14:paraId="50CD6D00" w14:textId="77777777" w:rsidR="00B76659" w:rsidRPr="008C06FE" w:rsidRDefault="00B76659" w:rsidP="00E73C30">
            <w:pPr>
              <w:autoSpaceDE w:val="0"/>
              <w:autoSpaceDN w:val="0"/>
              <w:adjustRightInd w:val="0"/>
              <w:ind w:left="60" w:right="60"/>
              <w:jc w:val="left"/>
            </w:pPr>
            <w:r w:rsidRPr="008C06FE">
              <w:t>11.767</w:t>
            </w:r>
          </w:p>
        </w:tc>
        <w:tc>
          <w:tcPr>
            <w:tcW w:w="718" w:type="dxa"/>
            <w:tcBorders>
              <w:top w:val="single" w:sz="4" w:space="0" w:color="auto"/>
              <w:bottom w:val="single" w:sz="4" w:space="0" w:color="auto"/>
            </w:tcBorders>
            <w:shd w:val="clear" w:color="auto" w:fill="FFFFFF"/>
          </w:tcPr>
          <w:p w14:paraId="73DB7EC0" w14:textId="77777777" w:rsidR="00B76659" w:rsidRPr="008C06FE" w:rsidRDefault="00B76659" w:rsidP="00E73C30">
            <w:pPr>
              <w:autoSpaceDE w:val="0"/>
              <w:autoSpaceDN w:val="0"/>
              <w:adjustRightInd w:val="0"/>
              <w:ind w:left="60" w:right="60"/>
              <w:jc w:val="left"/>
            </w:pPr>
            <w:r w:rsidRPr="008C06FE">
              <w:t>.513</w:t>
            </w:r>
          </w:p>
        </w:tc>
      </w:tr>
      <w:bookmarkEnd w:id="13"/>
    </w:tbl>
    <w:p w14:paraId="1CC63B4D" w14:textId="5C61CE6B" w:rsidR="00B76659" w:rsidRDefault="00B76659" w:rsidP="00374332">
      <w:pPr>
        <w:spacing w:line="276" w:lineRule="auto"/>
      </w:pPr>
    </w:p>
    <w:tbl>
      <w:tblPr>
        <w:tblW w:w="7882" w:type="dxa"/>
        <w:jc w:val="center"/>
        <w:tblLayout w:type="fixed"/>
        <w:tblCellMar>
          <w:left w:w="0" w:type="dxa"/>
          <w:right w:w="0" w:type="dxa"/>
        </w:tblCellMar>
        <w:tblLook w:val="0000" w:firstRow="0" w:lastRow="0" w:firstColumn="0" w:lastColumn="0" w:noHBand="0" w:noVBand="0"/>
      </w:tblPr>
      <w:tblGrid>
        <w:gridCol w:w="20"/>
        <w:gridCol w:w="1584"/>
        <w:gridCol w:w="740"/>
        <w:gridCol w:w="754"/>
        <w:gridCol w:w="525"/>
        <w:gridCol w:w="521"/>
        <w:gridCol w:w="810"/>
        <w:gridCol w:w="658"/>
        <w:gridCol w:w="748"/>
        <w:gridCol w:w="748"/>
        <w:gridCol w:w="750"/>
        <w:gridCol w:w="24"/>
      </w:tblGrid>
      <w:tr w:rsidR="00B76659" w:rsidRPr="008C06FE" w14:paraId="71C3C4C4" w14:textId="77777777" w:rsidTr="00E73C30">
        <w:trPr>
          <w:cantSplit/>
          <w:trHeight w:val="153"/>
          <w:jc w:val="center"/>
        </w:trPr>
        <w:tc>
          <w:tcPr>
            <w:tcW w:w="7882" w:type="dxa"/>
            <w:gridSpan w:val="12"/>
            <w:tcBorders>
              <w:bottom w:val="single" w:sz="4" w:space="0" w:color="auto"/>
            </w:tcBorders>
            <w:shd w:val="clear" w:color="auto" w:fill="FFFFFF"/>
            <w:vAlign w:val="center"/>
          </w:tcPr>
          <w:p w14:paraId="08564C8F" w14:textId="71D26AC9" w:rsidR="00B76659" w:rsidRPr="00E73C30" w:rsidRDefault="00B76659" w:rsidP="00E73C30">
            <w:pPr>
              <w:autoSpaceDE w:val="0"/>
              <w:autoSpaceDN w:val="0"/>
              <w:adjustRightInd w:val="0"/>
              <w:spacing w:after="120"/>
              <w:ind w:left="60" w:right="60"/>
              <w:jc w:val="center"/>
              <w:rPr>
                <w:bCs w:val="0"/>
                <w:sz w:val="16"/>
                <w:szCs w:val="16"/>
              </w:rPr>
            </w:pPr>
            <w:bookmarkStart w:id="14" w:name="TABLE10"/>
            <w:r w:rsidRPr="00E73C30">
              <w:rPr>
                <w:b/>
                <w:sz w:val="16"/>
                <w:szCs w:val="16"/>
              </w:rPr>
              <w:t>Table 10</w:t>
            </w:r>
            <w:r w:rsidR="00E73C30" w:rsidRPr="00E73C30">
              <w:rPr>
                <w:b/>
                <w:sz w:val="16"/>
                <w:szCs w:val="16"/>
              </w:rPr>
              <w:t>.</w:t>
            </w:r>
            <w:r w:rsidR="00E73C30" w:rsidRPr="00E73C30">
              <w:rPr>
                <w:bCs w:val="0"/>
                <w:sz w:val="16"/>
                <w:szCs w:val="16"/>
              </w:rPr>
              <w:t xml:space="preserve"> </w:t>
            </w:r>
            <w:r w:rsidRPr="00E73C30">
              <w:rPr>
                <w:bCs w:val="0"/>
                <w:sz w:val="16"/>
                <w:szCs w:val="16"/>
              </w:rPr>
              <w:t>Welch’s Independent-Samples t-test of German and Iranian Teachers’ TM</w:t>
            </w:r>
          </w:p>
        </w:tc>
      </w:tr>
      <w:tr w:rsidR="00B76659" w:rsidRPr="008C06FE" w14:paraId="680E21B7" w14:textId="77777777" w:rsidTr="00E73C30">
        <w:trPr>
          <w:cantSplit/>
          <w:trHeight w:val="88"/>
          <w:jc w:val="center"/>
        </w:trPr>
        <w:tc>
          <w:tcPr>
            <w:tcW w:w="1604" w:type="dxa"/>
            <w:gridSpan w:val="2"/>
            <w:vMerge w:val="restart"/>
            <w:tcBorders>
              <w:top w:val="single" w:sz="4" w:space="0" w:color="auto"/>
              <w:bottom w:val="single" w:sz="4" w:space="0" w:color="auto"/>
            </w:tcBorders>
            <w:shd w:val="clear" w:color="auto" w:fill="FFFFFF"/>
            <w:vAlign w:val="bottom"/>
          </w:tcPr>
          <w:p w14:paraId="7E608398" w14:textId="77777777" w:rsidR="00B76659" w:rsidRPr="008C06FE" w:rsidRDefault="00B76659" w:rsidP="00E73C30">
            <w:pPr>
              <w:autoSpaceDE w:val="0"/>
              <w:autoSpaceDN w:val="0"/>
              <w:adjustRightInd w:val="0"/>
              <w:jc w:val="left"/>
            </w:pPr>
          </w:p>
        </w:tc>
        <w:tc>
          <w:tcPr>
            <w:tcW w:w="1494" w:type="dxa"/>
            <w:gridSpan w:val="2"/>
            <w:tcBorders>
              <w:top w:val="single" w:sz="4" w:space="0" w:color="auto"/>
              <w:bottom w:val="single" w:sz="4" w:space="0" w:color="auto"/>
            </w:tcBorders>
            <w:shd w:val="clear" w:color="auto" w:fill="FFFFFF"/>
            <w:vAlign w:val="bottom"/>
          </w:tcPr>
          <w:p w14:paraId="57A549BD" w14:textId="77777777" w:rsidR="00B76659" w:rsidRPr="008C06FE" w:rsidRDefault="00B76659" w:rsidP="00E73C30">
            <w:pPr>
              <w:autoSpaceDE w:val="0"/>
              <w:autoSpaceDN w:val="0"/>
              <w:adjustRightInd w:val="0"/>
              <w:ind w:left="60" w:right="60"/>
              <w:jc w:val="left"/>
            </w:pPr>
            <w:r w:rsidRPr="008C06FE">
              <w:t xml:space="preserve">Levene's Test </w:t>
            </w:r>
          </w:p>
        </w:tc>
        <w:tc>
          <w:tcPr>
            <w:tcW w:w="4784" w:type="dxa"/>
            <w:gridSpan w:val="8"/>
            <w:tcBorders>
              <w:top w:val="single" w:sz="4" w:space="0" w:color="auto"/>
              <w:bottom w:val="single" w:sz="4" w:space="0" w:color="auto"/>
            </w:tcBorders>
            <w:shd w:val="clear" w:color="auto" w:fill="FFFFFF"/>
            <w:vAlign w:val="bottom"/>
          </w:tcPr>
          <w:p w14:paraId="7B0ACAAC" w14:textId="77777777" w:rsidR="00B76659" w:rsidRPr="008C06FE" w:rsidRDefault="00B76659" w:rsidP="00E73C30">
            <w:pPr>
              <w:autoSpaceDE w:val="0"/>
              <w:autoSpaceDN w:val="0"/>
              <w:adjustRightInd w:val="0"/>
              <w:ind w:left="60" w:right="60"/>
              <w:jc w:val="left"/>
            </w:pPr>
            <w:r w:rsidRPr="008C06FE">
              <w:t>t-test for Equality of Means</w:t>
            </w:r>
          </w:p>
        </w:tc>
      </w:tr>
      <w:tr w:rsidR="00B76659" w:rsidRPr="008C06FE" w14:paraId="6997D9C3" w14:textId="77777777" w:rsidTr="00E73C30">
        <w:trPr>
          <w:gridAfter w:val="1"/>
          <w:wAfter w:w="24" w:type="dxa"/>
          <w:cantSplit/>
          <w:trHeight w:val="135"/>
          <w:jc w:val="center"/>
        </w:trPr>
        <w:tc>
          <w:tcPr>
            <w:tcW w:w="1604" w:type="dxa"/>
            <w:gridSpan w:val="2"/>
            <w:vMerge/>
            <w:tcBorders>
              <w:top w:val="single" w:sz="4" w:space="0" w:color="auto"/>
            </w:tcBorders>
            <w:shd w:val="clear" w:color="auto" w:fill="FFFFFF"/>
            <w:vAlign w:val="bottom"/>
          </w:tcPr>
          <w:p w14:paraId="013065CA" w14:textId="77777777" w:rsidR="00B76659" w:rsidRPr="008C06FE" w:rsidRDefault="00B76659" w:rsidP="00E73C30">
            <w:pPr>
              <w:autoSpaceDE w:val="0"/>
              <w:autoSpaceDN w:val="0"/>
              <w:adjustRightInd w:val="0"/>
              <w:jc w:val="left"/>
            </w:pPr>
          </w:p>
        </w:tc>
        <w:tc>
          <w:tcPr>
            <w:tcW w:w="740" w:type="dxa"/>
            <w:vMerge w:val="restart"/>
            <w:tcBorders>
              <w:top w:val="single" w:sz="4" w:space="0" w:color="auto"/>
            </w:tcBorders>
            <w:shd w:val="clear" w:color="auto" w:fill="FFFFFF"/>
            <w:vAlign w:val="bottom"/>
          </w:tcPr>
          <w:p w14:paraId="38BDB6F9" w14:textId="77777777" w:rsidR="00B76659" w:rsidRPr="008C06FE" w:rsidRDefault="00B76659" w:rsidP="00E73C30">
            <w:pPr>
              <w:autoSpaceDE w:val="0"/>
              <w:autoSpaceDN w:val="0"/>
              <w:adjustRightInd w:val="0"/>
              <w:ind w:left="60" w:right="60"/>
              <w:jc w:val="left"/>
            </w:pPr>
            <w:r w:rsidRPr="008C06FE">
              <w:t>F</w:t>
            </w:r>
          </w:p>
        </w:tc>
        <w:tc>
          <w:tcPr>
            <w:tcW w:w="754" w:type="dxa"/>
            <w:vMerge w:val="restart"/>
            <w:tcBorders>
              <w:top w:val="single" w:sz="4" w:space="0" w:color="auto"/>
            </w:tcBorders>
            <w:shd w:val="clear" w:color="auto" w:fill="FFFFFF"/>
            <w:vAlign w:val="bottom"/>
          </w:tcPr>
          <w:p w14:paraId="612137F6" w14:textId="77777777" w:rsidR="00B76659" w:rsidRPr="008C06FE" w:rsidRDefault="00B76659" w:rsidP="00E73C30">
            <w:pPr>
              <w:autoSpaceDE w:val="0"/>
              <w:autoSpaceDN w:val="0"/>
              <w:adjustRightInd w:val="0"/>
              <w:ind w:left="60" w:right="60"/>
              <w:jc w:val="left"/>
            </w:pPr>
            <w:r w:rsidRPr="008C06FE">
              <w:t>Sig.</w:t>
            </w:r>
          </w:p>
        </w:tc>
        <w:tc>
          <w:tcPr>
            <w:tcW w:w="525" w:type="dxa"/>
            <w:vMerge w:val="restart"/>
            <w:tcBorders>
              <w:top w:val="single" w:sz="4" w:space="0" w:color="auto"/>
            </w:tcBorders>
            <w:shd w:val="clear" w:color="auto" w:fill="FFFFFF"/>
            <w:vAlign w:val="bottom"/>
          </w:tcPr>
          <w:p w14:paraId="526CC4F0" w14:textId="77777777" w:rsidR="00B76659" w:rsidRPr="008C06FE" w:rsidRDefault="00B76659" w:rsidP="00E73C30">
            <w:pPr>
              <w:autoSpaceDE w:val="0"/>
              <w:autoSpaceDN w:val="0"/>
              <w:adjustRightInd w:val="0"/>
              <w:ind w:left="60" w:right="60"/>
              <w:jc w:val="left"/>
            </w:pPr>
            <w:r w:rsidRPr="008C06FE">
              <w:t>t</w:t>
            </w:r>
          </w:p>
        </w:tc>
        <w:tc>
          <w:tcPr>
            <w:tcW w:w="521" w:type="dxa"/>
            <w:vMerge w:val="restart"/>
            <w:tcBorders>
              <w:top w:val="single" w:sz="4" w:space="0" w:color="auto"/>
            </w:tcBorders>
            <w:shd w:val="clear" w:color="auto" w:fill="FFFFFF"/>
            <w:vAlign w:val="bottom"/>
          </w:tcPr>
          <w:p w14:paraId="31CC0C98" w14:textId="77777777" w:rsidR="00B76659" w:rsidRPr="008C06FE" w:rsidRDefault="00B76659" w:rsidP="00E73C30">
            <w:pPr>
              <w:autoSpaceDE w:val="0"/>
              <w:autoSpaceDN w:val="0"/>
              <w:adjustRightInd w:val="0"/>
              <w:ind w:left="60" w:right="60"/>
              <w:jc w:val="left"/>
            </w:pPr>
            <w:r w:rsidRPr="008C06FE">
              <w:t>df</w:t>
            </w:r>
          </w:p>
        </w:tc>
        <w:tc>
          <w:tcPr>
            <w:tcW w:w="810" w:type="dxa"/>
            <w:vMerge w:val="restart"/>
            <w:tcBorders>
              <w:top w:val="single" w:sz="4" w:space="0" w:color="auto"/>
            </w:tcBorders>
            <w:shd w:val="clear" w:color="auto" w:fill="FFFFFF"/>
            <w:vAlign w:val="bottom"/>
          </w:tcPr>
          <w:p w14:paraId="7C0C0226" w14:textId="77777777" w:rsidR="00B76659" w:rsidRPr="008C06FE" w:rsidRDefault="00B76659" w:rsidP="00E73C30">
            <w:pPr>
              <w:autoSpaceDE w:val="0"/>
              <w:autoSpaceDN w:val="0"/>
              <w:adjustRightInd w:val="0"/>
              <w:ind w:left="60" w:right="60"/>
              <w:jc w:val="left"/>
            </w:pPr>
            <w:r w:rsidRPr="008C06FE">
              <w:t>Sig. (2-tailed)</w:t>
            </w:r>
          </w:p>
        </w:tc>
        <w:tc>
          <w:tcPr>
            <w:tcW w:w="658" w:type="dxa"/>
            <w:vMerge w:val="restart"/>
            <w:tcBorders>
              <w:top w:val="single" w:sz="4" w:space="0" w:color="auto"/>
            </w:tcBorders>
            <w:shd w:val="clear" w:color="auto" w:fill="FFFFFF"/>
            <w:vAlign w:val="bottom"/>
          </w:tcPr>
          <w:p w14:paraId="73BB7153" w14:textId="77777777" w:rsidR="00B76659" w:rsidRPr="008C06FE" w:rsidRDefault="00B76659" w:rsidP="00E73C30">
            <w:pPr>
              <w:autoSpaceDE w:val="0"/>
              <w:autoSpaceDN w:val="0"/>
              <w:adjustRightInd w:val="0"/>
              <w:ind w:left="60" w:right="60"/>
              <w:jc w:val="left"/>
            </w:pPr>
            <w:r w:rsidRPr="008C06FE">
              <w:t>MD</w:t>
            </w:r>
          </w:p>
        </w:tc>
        <w:tc>
          <w:tcPr>
            <w:tcW w:w="748" w:type="dxa"/>
            <w:vMerge w:val="restart"/>
            <w:tcBorders>
              <w:top w:val="single" w:sz="4" w:space="0" w:color="auto"/>
            </w:tcBorders>
            <w:shd w:val="clear" w:color="auto" w:fill="FFFFFF"/>
            <w:vAlign w:val="bottom"/>
          </w:tcPr>
          <w:p w14:paraId="78F7715D" w14:textId="77777777" w:rsidR="00B76659" w:rsidRPr="008C06FE" w:rsidRDefault="00B76659" w:rsidP="00E73C30">
            <w:pPr>
              <w:autoSpaceDE w:val="0"/>
              <w:autoSpaceDN w:val="0"/>
              <w:adjustRightInd w:val="0"/>
              <w:ind w:left="60" w:right="60"/>
              <w:jc w:val="left"/>
            </w:pPr>
            <w:r w:rsidRPr="008C06FE">
              <w:t>SED</w:t>
            </w:r>
          </w:p>
        </w:tc>
        <w:tc>
          <w:tcPr>
            <w:tcW w:w="1498" w:type="dxa"/>
            <w:gridSpan w:val="2"/>
            <w:tcBorders>
              <w:top w:val="single" w:sz="4" w:space="0" w:color="auto"/>
              <w:bottom w:val="single" w:sz="4" w:space="0" w:color="auto"/>
            </w:tcBorders>
            <w:shd w:val="clear" w:color="auto" w:fill="FFFFFF"/>
            <w:vAlign w:val="bottom"/>
          </w:tcPr>
          <w:p w14:paraId="47C4F27F" w14:textId="77777777" w:rsidR="00B76659" w:rsidRPr="008C06FE" w:rsidRDefault="00B76659" w:rsidP="00E73C30">
            <w:pPr>
              <w:autoSpaceDE w:val="0"/>
              <w:autoSpaceDN w:val="0"/>
              <w:adjustRightInd w:val="0"/>
              <w:ind w:left="60" w:right="60"/>
              <w:jc w:val="left"/>
            </w:pPr>
            <w:r w:rsidRPr="008C06FE">
              <w:t xml:space="preserve">95% CI </w:t>
            </w:r>
          </w:p>
        </w:tc>
      </w:tr>
      <w:tr w:rsidR="00B76659" w:rsidRPr="008C06FE" w14:paraId="7E1A4A3D" w14:textId="77777777" w:rsidTr="00E73C30">
        <w:trPr>
          <w:gridAfter w:val="1"/>
          <w:wAfter w:w="24" w:type="dxa"/>
          <w:cantSplit/>
          <w:trHeight w:val="44"/>
          <w:jc w:val="center"/>
        </w:trPr>
        <w:tc>
          <w:tcPr>
            <w:tcW w:w="1604" w:type="dxa"/>
            <w:gridSpan w:val="2"/>
            <w:vMerge/>
            <w:shd w:val="clear" w:color="auto" w:fill="FFFFFF"/>
            <w:vAlign w:val="bottom"/>
          </w:tcPr>
          <w:p w14:paraId="0189EFB3" w14:textId="77777777" w:rsidR="00B76659" w:rsidRPr="008C06FE" w:rsidRDefault="00B76659" w:rsidP="00E73C30">
            <w:pPr>
              <w:autoSpaceDE w:val="0"/>
              <w:autoSpaceDN w:val="0"/>
              <w:adjustRightInd w:val="0"/>
              <w:jc w:val="left"/>
            </w:pPr>
          </w:p>
        </w:tc>
        <w:tc>
          <w:tcPr>
            <w:tcW w:w="740" w:type="dxa"/>
            <w:vMerge/>
            <w:shd w:val="clear" w:color="auto" w:fill="FFFFFF"/>
            <w:vAlign w:val="bottom"/>
          </w:tcPr>
          <w:p w14:paraId="23BD620C" w14:textId="77777777" w:rsidR="00B76659" w:rsidRPr="008C06FE" w:rsidRDefault="00B76659" w:rsidP="00E73C30">
            <w:pPr>
              <w:autoSpaceDE w:val="0"/>
              <w:autoSpaceDN w:val="0"/>
              <w:adjustRightInd w:val="0"/>
              <w:jc w:val="left"/>
            </w:pPr>
          </w:p>
        </w:tc>
        <w:tc>
          <w:tcPr>
            <w:tcW w:w="754" w:type="dxa"/>
            <w:vMerge/>
            <w:shd w:val="clear" w:color="auto" w:fill="FFFFFF"/>
            <w:vAlign w:val="bottom"/>
          </w:tcPr>
          <w:p w14:paraId="33672CCB" w14:textId="77777777" w:rsidR="00B76659" w:rsidRPr="008C06FE" w:rsidRDefault="00B76659" w:rsidP="00E73C30">
            <w:pPr>
              <w:autoSpaceDE w:val="0"/>
              <w:autoSpaceDN w:val="0"/>
              <w:adjustRightInd w:val="0"/>
              <w:jc w:val="left"/>
            </w:pPr>
          </w:p>
        </w:tc>
        <w:tc>
          <w:tcPr>
            <w:tcW w:w="525" w:type="dxa"/>
            <w:vMerge/>
            <w:shd w:val="clear" w:color="auto" w:fill="FFFFFF"/>
            <w:vAlign w:val="bottom"/>
          </w:tcPr>
          <w:p w14:paraId="182E4333" w14:textId="77777777" w:rsidR="00B76659" w:rsidRPr="008C06FE" w:rsidRDefault="00B76659" w:rsidP="00E73C30">
            <w:pPr>
              <w:autoSpaceDE w:val="0"/>
              <w:autoSpaceDN w:val="0"/>
              <w:adjustRightInd w:val="0"/>
              <w:jc w:val="left"/>
            </w:pPr>
          </w:p>
        </w:tc>
        <w:tc>
          <w:tcPr>
            <w:tcW w:w="521" w:type="dxa"/>
            <w:vMerge/>
            <w:shd w:val="clear" w:color="auto" w:fill="FFFFFF"/>
            <w:vAlign w:val="bottom"/>
          </w:tcPr>
          <w:p w14:paraId="41D4B662" w14:textId="77777777" w:rsidR="00B76659" w:rsidRPr="008C06FE" w:rsidRDefault="00B76659" w:rsidP="00E73C30">
            <w:pPr>
              <w:autoSpaceDE w:val="0"/>
              <w:autoSpaceDN w:val="0"/>
              <w:adjustRightInd w:val="0"/>
              <w:jc w:val="left"/>
            </w:pPr>
          </w:p>
        </w:tc>
        <w:tc>
          <w:tcPr>
            <w:tcW w:w="810" w:type="dxa"/>
            <w:vMerge/>
            <w:shd w:val="clear" w:color="auto" w:fill="FFFFFF"/>
            <w:vAlign w:val="bottom"/>
          </w:tcPr>
          <w:p w14:paraId="1865AE4D" w14:textId="77777777" w:rsidR="00B76659" w:rsidRPr="008C06FE" w:rsidRDefault="00B76659" w:rsidP="00E73C30">
            <w:pPr>
              <w:autoSpaceDE w:val="0"/>
              <w:autoSpaceDN w:val="0"/>
              <w:adjustRightInd w:val="0"/>
              <w:jc w:val="left"/>
            </w:pPr>
          </w:p>
        </w:tc>
        <w:tc>
          <w:tcPr>
            <w:tcW w:w="658" w:type="dxa"/>
            <w:vMerge/>
            <w:shd w:val="clear" w:color="auto" w:fill="FFFFFF"/>
            <w:vAlign w:val="bottom"/>
          </w:tcPr>
          <w:p w14:paraId="0FDC6FEE" w14:textId="77777777" w:rsidR="00B76659" w:rsidRPr="008C06FE" w:rsidRDefault="00B76659" w:rsidP="00E73C30">
            <w:pPr>
              <w:autoSpaceDE w:val="0"/>
              <w:autoSpaceDN w:val="0"/>
              <w:adjustRightInd w:val="0"/>
              <w:jc w:val="left"/>
            </w:pPr>
          </w:p>
        </w:tc>
        <w:tc>
          <w:tcPr>
            <w:tcW w:w="748" w:type="dxa"/>
            <w:vMerge/>
            <w:shd w:val="clear" w:color="auto" w:fill="FFFFFF"/>
            <w:vAlign w:val="bottom"/>
          </w:tcPr>
          <w:p w14:paraId="16BEBA88" w14:textId="77777777" w:rsidR="00B76659" w:rsidRPr="008C06FE" w:rsidRDefault="00B76659" w:rsidP="00E73C30">
            <w:pPr>
              <w:autoSpaceDE w:val="0"/>
              <w:autoSpaceDN w:val="0"/>
              <w:adjustRightInd w:val="0"/>
              <w:jc w:val="left"/>
            </w:pPr>
          </w:p>
        </w:tc>
        <w:tc>
          <w:tcPr>
            <w:tcW w:w="748" w:type="dxa"/>
            <w:tcBorders>
              <w:top w:val="single" w:sz="4" w:space="0" w:color="auto"/>
            </w:tcBorders>
            <w:shd w:val="clear" w:color="auto" w:fill="FFFFFF"/>
            <w:vAlign w:val="bottom"/>
          </w:tcPr>
          <w:p w14:paraId="2E06A84F" w14:textId="77777777" w:rsidR="00B76659" w:rsidRPr="008C06FE" w:rsidRDefault="00B76659" w:rsidP="00E73C30">
            <w:pPr>
              <w:autoSpaceDE w:val="0"/>
              <w:autoSpaceDN w:val="0"/>
              <w:adjustRightInd w:val="0"/>
              <w:ind w:left="60" w:right="60"/>
              <w:jc w:val="left"/>
            </w:pPr>
            <w:r w:rsidRPr="008C06FE">
              <w:t>Lower</w:t>
            </w:r>
          </w:p>
        </w:tc>
        <w:tc>
          <w:tcPr>
            <w:tcW w:w="750" w:type="dxa"/>
            <w:tcBorders>
              <w:top w:val="single" w:sz="4" w:space="0" w:color="auto"/>
            </w:tcBorders>
            <w:shd w:val="clear" w:color="auto" w:fill="FFFFFF"/>
            <w:vAlign w:val="bottom"/>
          </w:tcPr>
          <w:p w14:paraId="50739B51" w14:textId="77777777" w:rsidR="00B76659" w:rsidRPr="008C06FE" w:rsidRDefault="00B76659" w:rsidP="00E73C30">
            <w:pPr>
              <w:autoSpaceDE w:val="0"/>
              <w:autoSpaceDN w:val="0"/>
              <w:adjustRightInd w:val="0"/>
              <w:ind w:left="60" w:right="60"/>
              <w:jc w:val="left"/>
            </w:pPr>
            <w:r w:rsidRPr="008C06FE">
              <w:t>Upper</w:t>
            </w:r>
          </w:p>
        </w:tc>
      </w:tr>
      <w:tr w:rsidR="00B76659" w:rsidRPr="008C06FE" w14:paraId="067BFFA3" w14:textId="77777777" w:rsidTr="00E73C30">
        <w:trPr>
          <w:gridAfter w:val="1"/>
          <w:wAfter w:w="24" w:type="dxa"/>
          <w:cantSplit/>
          <w:trHeight w:val="88"/>
          <w:jc w:val="center"/>
        </w:trPr>
        <w:tc>
          <w:tcPr>
            <w:tcW w:w="20" w:type="dxa"/>
            <w:vMerge w:val="restart"/>
            <w:shd w:val="clear" w:color="auto" w:fill="FFFFFF" w:themeFill="background1"/>
          </w:tcPr>
          <w:p w14:paraId="519F01DE" w14:textId="77777777" w:rsidR="00B76659" w:rsidRPr="008C06FE" w:rsidRDefault="00B76659" w:rsidP="00E73C30">
            <w:pPr>
              <w:autoSpaceDE w:val="0"/>
              <w:autoSpaceDN w:val="0"/>
              <w:adjustRightInd w:val="0"/>
              <w:ind w:left="60" w:right="60"/>
              <w:jc w:val="left"/>
            </w:pPr>
          </w:p>
        </w:tc>
        <w:tc>
          <w:tcPr>
            <w:tcW w:w="1584" w:type="dxa"/>
            <w:tcBorders>
              <w:top w:val="single" w:sz="4" w:space="0" w:color="auto"/>
              <w:bottom w:val="single" w:sz="4" w:space="0" w:color="auto"/>
            </w:tcBorders>
            <w:shd w:val="clear" w:color="auto" w:fill="FFFFFF" w:themeFill="background1"/>
          </w:tcPr>
          <w:p w14:paraId="5C17774A" w14:textId="77777777" w:rsidR="00B76659" w:rsidRPr="008C06FE" w:rsidRDefault="00B76659" w:rsidP="00E73C30">
            <w:pPr>
              <w:autoSpaceDE w:val="0"/>
              <w:autoSpaceDN w:val="0"/>
              <w:adjustRightInd w:val="0"/>
              <w:ind w:left="60" w:right="60"/>
              <w:jc w:val="left"/>
            </w:pPr>
            <w:r w:rsidRPr="008C06FE">
              <w:t>Equal variances assumed</w:t>
            </w:r>
          </w:p>
        </w:tc>
        <w:tc>
          <w:tcPr>
            <w:tcW w:w="740" w:type="dxa"/>
            <w:tcBorders>
              <w:top w:val="single" w:sz="4" w:space="0" w:color="auto"/>
              <w:bottom w:val="single" w:sz="4" w:space="0" w:color="auto"/>
            </w:tcBorders>
            <w:shd w:val="clear" w:color="auto" w:fill="FFFFFF"/>
          </w:tcPr>
          <w:p w14:paraId="0B484354" w14:textId="77777777" w:rsidR="00B76659" w:rsidRPr="008C06FE" w:rsidRDefault="00B76659" w:rsidP="00E73C30">
            <w:pPr>
              <w:autoSpaceDE w:val="0"/>
              <w:autoSpaceDN w:val="0"/>
              <w:adjustRightInd w:val="0"/>
              <w:ind w:left="60" w:right="60"/>
              <w:jc w:val="left"/>
            </w:pPr>
            <w:r w:rsidRPr="008C06FE">
              <w:t>34.229</w:t>
            </w:r>
          </w:p>
        </w:tc>
        <w:tc>
          <w:tcPr>
            <w:tcW w:w="754" w:type="dxa"/>
            <w:tcBorders>
              <w:top w:val="single" w:sz="4" w:space="0" w:color="auto"/>
              <w:bottom w:val="single" w:sz="4" w:space="0" w:color="auto"/>
            </w:tcBorders>
            <w:shd w:val="clear" w:color="auto" w:fill="FFFFFF"/>
          </w:tcPr>
          <w:p w14:paraId="6E4BA124" w14:textId="77777777" w:rsidR="00B76659" w:rsidRPr="008C06FE" w:rsidRDefault="00B76659" w:rsidP="00E73C30">
            <w:pPr>
              <w:autoSpaceDE w:val="0"/>
              <w:autoSpaceDN w:val="0"/>
              <w:adjustRightInd w:val="0"/>
              <w:ind w:left="60" w:right="60"/>
              <w:jc w:val="left"/>
            </w:pPr>
            <w:r w:rsidRPr="008C06FE">
              <w:t>.594</w:t>
            </w:r>
          </w:p>
        </w:tc>
        <w:tc>
          <w:tcPr>
            <w:tcW w:w="525" w:type="dxa"/>
            <w:tcBorders>
              <w:top w:val="single" w:sz="4" w:space="0" w:color="auto"/>
              <w:bottom w:val="single" w:sz="4" w:space="0" w:color="auto"/>
            </w:tcBorders>
            <w:shd w:val="clear" w:color="auto" w:fill="FFFFFF"/>
          </w:tcPr>
          <w:p w14:paraId="6671C1AF" w14:textId="77777777" w:rsidR="00B76659" w:rsidRPr="008C06FE" w:rsidRDefault="00B76659" w:rsidP="00E73C30">
            <w:pPr>
              <w:autoSpaceDE w:val="0"/>
              <w:autoSpaceDN w:val="0"/>
              <w:adjustRightInd w:val="0"/>
              <w:ind w:left="60" w:right="60"/>
              <w:jc w:val="left"/>
            </w:pPr>
            <w:r w:rsidRPr="008C06FE">
              <w:t>7.721</w:t>
            </w:r>
          </w:p>
        </w:tc>
        <w:tc>
          <w:tcPr>
            <w:tcW w:w="521" w:type="dxa"/>
            <w:tcBorders>
              <w:top w:val="single" w:sz="4" w:space="0" w:color="auto"/>
              <w:bottom w:val="single" w:sz="4" w:space="0" w:color="auto"/>
            </w:tcBorders>
            <w:shd w:val="clear" w:color="auto" w:fill="FFFFFF"/>
          </w:tcPr>
          <w:p w14:paraId="35204E16" w14:textId="77777777" w:rsidR="00B76659" w:rsidRPr="008C06FE" w:rsidRDefault="00B76659" w:rsidP="00E73C30">
            <w:pPr>
              <w:autoSpaceDE w:val="0"/>
              <w:autoSpaceDN w:val="0"/>
              <w:adjustRightInd w:val="0"/>
              <w:ind w:left="60" w:right="60"/>
              <w:jc w:val="left"/>
            </w:pPr>
            <w:r w:rsidRPr="008C06FE">
              <w:t>510</w:t>
            </w:r>
          </w:p>
        </w:tc>
        <w:tc>
          <w:tcPr>
            <w:tcW w:w="810" w:type="dxa"/>
            <w:tcBorders>
              <w:top w:val="single" w:sz="4" w:space="0" w:color="auto"/>
              <w:bottom w:val="single" w:sz="4" w:space="0" w:color="auto"/>
            </w:tcBorders>
            <w:shd w:val="clear" w:color="auto" w:fill="FFFFFF"/>
          </w:tcPr>
          <w:p w14:paraId="336070F8" w14:textId="77777777" w:rsidR="00B76659" w:rsidRPr="008C06FE" w:rsidRDefault="00B76659" w:rsidP="00E73C30">
            <w:pPr>
              <w:autoSpaceDE w:val="0"/>
              <w:autoSpaceDN w:val="0"/>
              <w:adjustRightInd w:val="0"/>
              <w:ind w:left="60" w:right="60"/>
              <w:jc w:val="left"/>
            </w:pPr>
            <w:r w:rsidRPr="008C06FE">
              <w:t>.000</w:t>
            </w:r>
          </w:p>
        </w:tc>
        <w:tc>
          <w:tcPr>
            <w:tcW w:w="658" w:type="dxa"/>
            <w:tcBorders>
              <w:top w:val="single" w:sz="4" w:space="0" w:color="auto"/>
              <w:bottom w:val="single" w:sz="4" w:space="0" w:color="auto"/>
            </w:tcBorders>
            <w:shd w:val="clear" w:color="auto" w:fill="FFFFFF"/>
          </w:tcPr>
          <w:p w14:paraId="15DA9ECE" w14:textId="77777777" w:rsidR="00B76659" w:rsidRPr="008C06FE" w:rsidRDefault="00B76659" w:rsidP="00E73C30">
            <w:pPr>
              <w:autoSpaceDE w:val="0"/>
              <w:autoSpaceDN w:val="0"/>
              <w:adjustRightInd w:val="0"/>
              <w:ind w:left="60" w:right="60"/>
              <w:jc w:val="left"/>
            </w:pPr>
            <w:r w:rsidRPr="008C06FE">
              <w:t>7.511</w:t>
            </w:r>
          </w:p>
        </w:tc>
        <w:tc>
          <w:tcPr>
            <w:tcW w:w="748" w:type="dxa"/>
            <w:tcBorders>
              <w:top w:val="single" w:sz="4" w:space="0" w:color="auto"/>
              <w:bottom w:val="single" w:sz="4" w:space="0" w:color="auto"/>
            </w:tcBorders>
            <w:shd w:val="clear" w:color="auto" w:fill="FFFFFF"/>
          </w:tcPr>
          <w:p w14:paraId="7F0B0DF6" w14:textId="77777777" w:rsidR="00B76659" w:rsidRPr="008C06FE" w:rsidRDefault="00B76659" w:rsidP="00E73C30">
            <w:pPr>
              <w:autoSpaceDE w:val="0"/>
              <w:autoSpaceDN w:val="0"/>
              <w:adjustRightInd w:val="0"/>
              <w:ind w:left="60" w:right="60"/>
              <w:jc w:val="left"/>
            </w:pPr>
            <w:r w:rsidRPr="008C06FE">
              <w:t>.973</w:t>
            </w:r>
          </w:p>
        </w:tc>
        <w:tc>
          <w:tcPr>
            <w:tcW w:w="748" w:type="dxa"/>
            <w:tcBorders>
              <w:top w:val="single" w:sz="4" w:space="0" w:color="auto"/>
              <w:bottom w:val="single" w:sz="4" w:space="0" w:color="auto"/>
            </w:tcBorders>
            <w:shd w:val="clear" w:color="auto" w:fill="FFFFFF"/>
          </w:tcPr>
          <w:p w14:paraId="6623A15B" w14:textId="77777777" w:rsidR="00B76659" w:rsidRPr="008C06FE" w:rsidRDefault="00B76659" w:rsidP="00E73C30">
            <w:pPr>
              <w:autoSpaceDE w:val="0"/>
              <w:autoSpaceDN w:val="0"/>
              <w:adjustRightInd w:val="0"/>
              <w:ind w:left="60" w:right="60"/>
              <w:jc w:val="left"/>
            </w:pPr>
            <w:r w:rsidRPr="008C06FE">
              <w:t>5.600</w:t>
            </w:r>
          </w:p>
        </w:tc>
        <w:tc>
          <w:tcPr>
            <w:tcW w:w="750" w:type="dxa"/>
            <w:tcBorders>
              <w:top w:val="single" w:sz="4" w:space="0" w:color="auto"/>
              <w:bottom w:val="single" w:sz="4" w:space="0" w:color="auto"/>
            </w:tcBorders>
            <w:shd w:val="clear" w:color="auto" w:fill="FFFFFF"/>
          </w:tcPr>
          <w:p w14:paraId="7FF21E29" w14:textId="77777777" w:rsidR="00B76659" w:rsidRPr="008C06FE" w:rsidRDefault="00B76659" w:rsidP="00E73C30">
            <w:pPr>
              <w:autoSpaceDE w:val="0"/>
              <w:autoSpaceDN w:val="0"/>
              <w:adjustRightInd w:val="0"/>
              <w:ind w:left="60" w:right="60"/>
              <w:jc w:val="left"/>
            </w:pPr>
            <w:r w:rsidRPr="008C06FE">
              <w:t>9.422</w:t>
            </w:r>
          </w:p>
        </w:tc>
      </w:tr>
      <w:tr w:rsidR="00B76659" w:rsidRPr="008C06FE" w14:paraId="4E662EEF" w14:textId="77777777" w:rsidTr="00E73C30">
        <w:trPr>
          <w:gridAfter w:val="1"/>
          <w:wAfter w:w="24" w:type="dxa"/>
          <w:cantSplit/>
          <w:trHeight w:val="89"/>
          <w:jc w:val="center"/>
        </w:trPr>
        <w:tc>
          <w:tcPr>
            <w:tcW w:w="20" w:type="dxa"/>
            <w:vMerge/>
            <w:shd w:val="clear" w:color="auto" w:fill="FFFFFF" w:themeFill="background1"/>
          </w:tcPr>
          <w:p w14:paraId="5E0AC3B0" w14:textId="77777777" w:rsidR="00B76659" w:rsidRPr="008C06FE" w:rsidRDefault="00B76659" w:rsidP="00E73C30">
            <w:pPr>
              <w:autoSpaceDE w:val="0"/>
              <w:autoSpaceDN w:val="0"/>
              <w:adjustRightInd w:val="0"/>
              <w:jc w:val="left"/>
            </w:pPr>
          </w:p>
        </w:tc>
        <w:tc>
          <w:tcPr>
            <w:tcW w:w="1584" w:type="dxa"/>
            <w:tcBorders>
              <w:top w:val="single" w:sz="4" w:space="0" w:color="auto"/>
              <w:bottom w:val="single" w:sz="4" w:space="0" w:color="auto"/>
            </w:tcBorders>
            <w:shd w:val="clear" w:color="auto" w:fill="FFFFFF" w:themeFill="background1"/>
          </w:tcPr>
          <w:p w14:paraId="5E022EF9" w14:textId="77777777" w:rsidR="00B76659" w:rsidRPr="008C06FE" w:rsidRDefault="00B76659" w:rsidP="00E73C30">
            <w:pPr>
              <w:autoSpaceDE w:val="0"/>
              <w:autoSpaceDN w:val="0"/>
              <w:adjustRightInd w:val="0"/>
              <w:ind w:left="60" w:right="60"/>
              <w:jc w:val="left"/>
            </w:pPr>
            <w:r w:rsidRPr="008C06FE">
              <w:t>Equal variances not assumed</w:t>
            </w:r>
          </w:p>
        </w:tc>
        <w:tc>
          <w:tcPr>
            <w:tcW w:w="740" w:type="dxa"/>
            <w:tcBorders>
              <w:top w:val="single" w:sz="4" w:space="0" w:color="auto"/>
              <w:bottom w:val="single" w:sz="4" w:space="0" w:color="auto"/>
            </w:tcBorders>
            <w:shd w:val="clear" w:color="auto" w:fill="FFFFFF"/>
            <w:vAlign w:val="center"/>
          </w:tcPr>
          <w:p w14:paraId="14D0DFD9" w14:textId="77777777" w:rsidR="00B76659" w:rsidRPr="008C06FE" w:rsidRDefault="00B76659" w:rsidP="00E73C30">
            <w:pPr>
              <w:autoSpaceDE w:val="0"/>
              <w:autoSpaceDN w:val="0"/>
              <w:adjustRightInd w:val="0"/>
              <w:jc w:val="left"/>
            </w:pPr>
          </w:p>
        </w:tc>
        <w:tc>
          <w:tcPr>
            <w:tcW w:w="754" w:type="dxa"/>
            <w:tcBorders>
              <w:top w:val="single" w:sz="4" w:space="0" w:color="auto"/>
              <w:bottom w:val="single" w:sz="4" w:space="0" w:color="auto"/>
            </w:tcBorders>
            <w:shd w:val="clear" w:color="auto" w:fill="FFFFFF"/>
            <w:vAlign w:val="center"/>
          </w:tcPr>
          <w:p w14:paraId="2C28560F" w14:textId="77777777" w:rsidR="00B76659" w:rsidRPr="008C06FE" w:rsidRDefault="00B76659" w:rsidP="00E73C30">
            <w:pPr>
              <w:autoSpaceDE w:val="0"/>
              <w:autoSpaceDN w:val="0"/>
              <w:adjustRightInd w:val="0"/>
              <w:jc w:val="left"/>
            </w:pPr>
          </w:p>
        </w:tc>
        <w:tc>
          <w:tcPr>
            <w:tcW w:w="525" w:type="dxa"/>
            <w:tcBorders>
              <w:top w:val="single" w:sz="4" w:space="0" w:color="auto"/>
              <w:bottom w:val="single" w:sz="4" w:space="0" w:color="auto"/>
            </w:tcBorders>
            <w:shd w:val="clear" w:color="auto" w:fill="FFFFFF"/>
          </w:tcPr>
          <w:p w14:paraId="227A4934" w14:textId="77777777" w:rsidR="00B76659" w:rsidRPr="008C06FE" w:rsidRDefault="00B76659" w:rsidP="00E73C30">
            <w:pPr>
              <w:autoSpaceDE w:val="0"/>
              <w:autoSpaceDN w:val="0"/>
              <w:adjustRightInd w:val="0"/>
              <w:ind w:left="60" w:right="60"/>
              <w:jc w:val="left"/>
            </w:pPr>
            <w:r w:rsidRPr="008C06FE">
              <w:t>8.116</w:t>
            </w:r>
          </w:p>
        </w:tc>
        <w:tc>
          <w:tcPr>
            <w:tcW w:w="521" w:type="dxa"/>
            <w:tcBorders>
              <w:top w:val="single" w:sz="4" w:space="0" w:color="auto"/>
              <w:bottom w:val="single" w:sz="4" w:space="0" w:color="auto"/>
            </w:tcBorders>
            <w:shd w:val="clear" w:color="auto" w:fill="FFFFFF"/>
          </w:tcPr>
          <w:p w14:paraId="48571BDE" w14:textId="77777777" w:rsidR="00B76659" w:rsidRPr="008C06FE" w:rsidRDefault="00B76659" w:rsidP="00E73C30">
            <w:pPr>
              <w:autoSpaceDE w:val="0"/>
              <w:autoSpaceDN w:val="0"/>
              <w:adjustRightInd w:val="0"/>
              <w:ind w:left="60" w:right="60"/>
              <w:jc w:val="left"/>
            </w:pPr>
            <w:r w:rsidRPr="008C06FE">
              <w:t>472.78</w:t>
            </w:r>
          </w:p>
        </w:tc>
        <w:tc>
          <w:tcPr>
            <w:tcW w:w="810" w:type="dxa"/>
            <w:tcBorders>
              <w:top w:val="single" w:sz="4" w:space="0" w:color="auto"/>
              <w:bottom w:val="single" w:sz="4" w:space="0" w:color="auto"/>
            </w:tcBorders>
            <w:shd w:val="clear" w:color="auto" w:fill="FFFFFF"/>
          </w:tcPr>
          <w:p w14:paraId="50D4F488" w14:textId="77777777" w:rsidR="00B76659" w:rsidRPr="008C06FE" w:rsidRDefault="00B76659" w:rsidP="00E73C30">
            <w:pPr>
              <w:autoSpaceDE w:val="0"/>
              <w:autoSpaceDN w:val="0"/>
              <w:adjustRightInd w:val="0"/>
              <w:ind w:left="60" w:right="60"/>
              <w:jc w:val="left"/>
            </w:pPr>
            <w:r w:rsidRPr="008C06FE">
              <w:t>.000</w:t>
            </w:r>
          </w:p>
        </w:tc>
        <w:tc>
          <w:tcPr>
            <w:tcW w:w="658" w:type="dxa"/>
            <w:tcBorders>
              <w:top w:val="single" w:sz="4" w:space="0" w:color="auto"/>
              <w:bottom w:val="single" w:sz="4" w:space="0" w:color="auto"/>
            </w:tcBorders>
            <w:shd w:val="clear" w:color="auto" w:fill="FFFFFF"/>
          </w:tcPr>
          <w:p w14:paraId="14B5D9EE" w14:textId="77777777" w:rsidR="00B76659" w:rsidRPr="008C06FE" w:rsidRDefault="00B76659" w:rsidP="00E73C30">
            <w:pPr>
              <w:autoSpaceDE w:val="0"/>
              <w:autoSpaceDN w:val="0"/>
              <w:adjustRightInd w:val="0"/>
              <w:ind w:left="60" w:right="60"/>
              <w:jc w:val="left"/>
            </w:pPr>
            <w:r w:rsidRPr="008C06FE">
              <w:t>7.511</w:t>
            </w:r>
          </w:p>
        </w:tc>
        <w:tc>
          <w:tcPr>
            <w:tcW w:w="748" w:type="dxa"/>
            <w:tcBorders>
              <w:top w:val="single" w:sz="4" w:space="0" w:color="auto"/>
              <w:bottom w:val="single" w:sz="4" w:space="0" w:color="auto"/>
            </w:tcBorders>
            <w:shd w:val="clear" w:color="auto" w:fill="FFFFFF"/>
          </w:tcPr>
          <w:p w14:paraId="1F762EBE" w14:textId="77777777" w:rsidR="00B76659" w:rsidRPr="008C06FE" w:rsidRDefault="00B76659" w:rsidP="00E73C30">
            <w:pPr>
              <w:autoSpaceDE w:val="0"/>
              <w:autoSpaceDN w:val="0"/>
              <w:adjustRightInd w:val="0"/>
              <w:ind w:left="60" w:right="60"/>
              <w:jc w:val="left"/>
            </w:pPr>
            <w:r w:rsidRPr="008C06FE">
              <w:t>.925</w:t>
            </w:r>
          </w:p>
        </w:tc>
        <w:tc>
          <w:tcPr>
            <w:tcW w:w="748" w:type="dxa"/>
            <w:tcBorders>
              <w:top w:val="single" w:sz="4" w:space="0" w:color="auto"/>
              <w:bottom w:val="single" w:sz="4" w:space="0" w:color="auto"/>
            </w:tcBorders>
            <w:shd w:val="clear" w:color="auto" w:fill="FFFFFF"/>
          </w:tcPr>
          <w:p w14:paraId="13EBFA1B" w14:textId="77777777" w:rsidR="00B76659" w:rsidRPr="008C06FE" w:rsidRDefault="00B76659" w:rsidP="00E73C30">
            <w:pPr>
              <w:autoSpaceDE w:val="0"/>
              <w:autoSpaceDN w:val="0"/>
              <w:adjustRightInd w:val="0"/>
              <w:ind w:left="60" w:right="60"/>
              <w:jc w:val="left"/>
            </w:pPr>
            <w:r w:rsidRPr="008C06FE">
              <w:t>5.692</w:t>
            </w:r>
          </w:p>
        </w:tc>
        <w:tc>
          <w:tcPr>
            <w:tcW w:w="750" w:type="dxa"/>
            <w:tcBorders>
              <w:top w:val="single" w:sz="4" w:space="0" w:color="auto"/>
              <w:bottom w:val="single" w:sz="4" w:space="0" w:color="auto"/>
            </w:tcBorders>
            <w:shd w:val="clear" w:color="auto" w:fill="FFFFFF"/>
          </w:tcPr>
          <w:p w14:paraId="5EE6916F" w14:textId="77777777" w:rsidR="00B76659" w:rsidRPr="008C06FE" w:rsidRDefault="00B76659" w:rsidP="00E73C30">
            <w:pPr>
              <w:autoSpaceDE w:val="0"/>
              <w:autoSpaceDN w:val="0"/>
              <w:adjustRightInd w:val="0"/>
              <w:ind w:left="60" w:right="60"/>
              <w:jc w:val="left"/>
            </w:pPr>
            <w:r w:rsidRPr="008C06FE">
              <w:t>9.329</w:t>
            </w:r>
          </w:p>
        </w:tc>
      </w:tr>
    </w:tbl>
    <w:p w14:paraId="568B0851" w14:textId="415669A3" w:rsidR="00B76659" w:rsidRDefault="00AE3E22" w:rsidP="00374332">
      <w:pPr>
        <w:spacing w:line="276" w:lineRule="auto"/>
      </w:pPr>
      <w:bookmarkStart w:id="15" w:name="FIG1"/>
      <w:bookmarkEnd w:id="14"/>
      <w:r>
        <w:rPr>
          <w:noProof/>
        </w:rPr>
        <mc:AlternateContent>
          <mc:Choice Requires="wps">
            <w:drawing>
              <wp:anchor distT="0" distB="0" distL="114300" distR="114300" simplePos="0" relativeHeight="251667456" behindDoc="0" locked="0" layoutInCell="1" allowOverlap="1" wp14:anchorId="53906F08" wp14:editId="2CE5FC9C">
                <wp:simplePos x="0" y="0"/>
                <wp:positionH relativeFrom="column">
                  <wp:posOffset>1448409</wp:posOffset>
                </wp:positionH>
                <wp:positionV relativeFrom="paragraph">
                  <wp:posOffset>3730803</wp:posOffset>
                </wp:positionV>
                <wp:extent cx="4048125" cy="635"/>
                <wp:effectExtent l="0" t="0" r="0" b="0"/>
                <wp:wrapTopAndBottom/>
                <wp:docPr id="4" name="Text Box 4"/>
                <wp:cNvGraphicFramePr/>
                <a:graphic xmlns:a="http://schemas.openxmlformats.org/drawingml/2006/main">
                  <a:graphicData uri="http://schemas.microsoft.com/office/word/2010/wordprocessingShape">
                    <wps:wsp>
                      <wps:cNvSpPr txBox="1"/>
                      <wps:spPr>
                        <a:xfrm>
                          <a:off x="0" y="0"/>
                          <a:ext cx="4048125" cy="635"/>
                        </a:xfrm>
                        <a:prstGeom prst="rect">
                          <a:avLst/>
                        </a:prstGeom>
                        <a:solidFill>
                          <a:prstClr val="white"/>
                        </a:solidFill>
                        <a:ln>
                          <a:noFill/>
                        </a:ln>
                      </wps:spPr>
                      <wps:txbx>
                        <w:txbxContent>
                          <w:p w14:paraId="1BB89CE1" w14:textId="55D951C5" w:rsidR="00AE3E22" w:rsidRPr="00B76659" w:rsidRDefault="00AE3E22" w:rsidP="00AE3E22">
                            <w:pPr>
                              <w:pStyle w:val="Caption"/>
                              <w:jc w:val="center"/>
                              <w:rPr>
                                <w:i w:val="0"/>
                                <w:iCs w:val="0"/>
                                <w:noProof/>
                                <w:color w:val="auto"/>
                                <w:sz w:val="22"/>
                                <w:szCs w:val="22"/>
                              </w:rPr>
                            </w:pPr>
                            <w:r w:rsidRPr="00B76659">
                              <w:rPr>
                                <w:b/>
                                <w:bCs w:val="0"/>
                                <w:i w:val="0"/>
                                <w:iCs w:val="0"/>
                                <w:color w:val="auto"/>
                                <w:sz w:val="16"/>
                                <w:szCs w:val="16"/>
                              </w:rPr>
                              <w:t xml:space="preserve">Figure </w:t>
                            </w:r>
                            <w:r w:rsidRPr="00B76659">
                              <w:rPr>
                                <w:b/>
                                <w:bCs w:val="0"/>
                                <w:i w:val="0"/>
                                <w:iCs w:val="0"/>
                                <w:color w:val="auto"/>
                                <w:sz w:val="16"/>
                                <w:szCs w:val="16"/>
                              </w:rPr>
                              <w:fldChar w:fldCharType="begin"/>
                            </w:r>
                            <w:r w:rsidRPr="00B76659">
                              <w:rPr>
                                <w:b/>
                                <w:bCs w:val="0"/>
                                <w:i w:val="0"/>
                                <w:iCs w:val="0"/>
                                <w:color w:val="auto"/>
                                <w:sz w:val="16"/>
                                <w:szCs w:val="16"/>
                              </w:rPr>
                              <w:instrText xml:space="preserve"> SEQ Figure \* ARABIC </w:instrText>
                            </w:r>
                            <w:r w:rsidRPr="00B76659">
                              <w:rPr>
                                <w:b/>
                                <w:bCs w:val="0"/>
                                <w:i w:val="0"/>
                                <w:iCs w:val="0"/>
                                <w:color w:val="auto"/>
                                <w:sz w:val="16"/>
                                <w:szCs w:val="16"/>
                              </w:rPr>
                              <w:fldChar w:fldCharType="separate"/>
                            </w:r>
                            <w:r w:rsidR="00A128F0">
                              <w:rPr>
                                <w:b/>
                                <w:bCs w:val="0"/>
                                <w:i w:val="0"/>
                                <w:iCs w:val="0"/>
                                <w:noProof/>
                                <w:color w:val="auto"/>
                                <w:sz w:val="16"/>
                                <w:szCs w:val="16"/>
                              </w:rPr>
                              <w:t>1</w:t>
                            </w:r>
                            <w:r w:rsidRPr="00B76659">
                              <w:rPr>
                                <w:b/>
                                <w:bCs w:val="0"/>
                                <w:i w:val="0"/>
                                <w:iCs w:val="0"/>
                                <w:color w:val="auto"/>
                                <w:sz w:val="16"/>
                                <w:szCs w:val="16"/>
                              </w:rPr>
                              <w:fldChar w:fldCharType="end"/>
                            </w:r>
                            <w:r w:rsidRPr="00B76659">
                              <w:rPr>
                                <w:b/>
                                <w:bCs w:val="0"/>
                                <w:i w:val="0"/>
                                <w:iCs w:val="0"/>
                                <w:color w:val="auto"/>
                                <w:sz w:val="16"/>
                                <w:szCs w:val="16"/>
                              </w:rPr>
                              <w:t>.</w:t>
                            </w:r>
                            <w:r w:rsidRPr="00B76659">
                              <w:rPr>
                                <w:i w:val="0"/>
                                <w:iCs w:val="0"/>
                                <w:color w:val="auto"/>
                                <w:sz w:val="16"/>
                                <w:szCs w:val="16"/>
                              </w:rPr>
                              <w:t xml:space="preserve"> Model of the Predictors of Iranian EFL Teachers’ TM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53906F08" id="_x0000_t202" coordsize="21600,21600" o:spt="202" path="m,l,21600r21600,l21600,xe">
                <v:stroke joinstyle="miter"/>
                <v:path gradientshapeok="t" o:connecttype="rect"/>
              </v:shapetype>
              <v:shape id="Text Box 4" o:spid="_x0000_s1026" type="#_x0000_t202" style="position:absolute;left:0;text-align:left;margin-left:114.05pt;margin-top:293.75pt;width:318.75pt;height:.0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" stroked="f">
                <v:textbox style="mso-fit-shape-to-text:t" inset="0,0,0,0">
                  <w:txbxContent>
                    <w:p w14:paraId="1BB89CE1" w14:textId="55D951C5" w:rsidR="00AE3E22" w:rsidRPr="00B76659" w:rsidRDefault="00AE3E22" w:rsidP="00AE3E22">
                      <w:pPr>
                        <w:pStyle w:val="Caption"/>
                        <w:jc w:val="center"/>
                        <w:rPr>
                          <w:i w:val="0"/>
                          <w:iCs w:val="0"/>
                          <w:noProof/>
                          <w:color w:val="auto"/>
                          <w:sz w:val="22"/>
                          <w:szCs w:val="22"/>
                        </w:rPr>
                      </w:pPr>
                      <w:r w:rsidRPr="00B76659">
                        <w:rPr>
                          <w:b/>
                          <w:bCs w:val="0"/>
                          <w:i w:val="0"/>
                          <w:iCs w:val="0"/>
                          <w:color w:val="auto"/>
                          <w:sz w:val="16"/>
                          <w:szCs w:val="16"/>
                        </w:rPr>
                        <w:t xml:space="preserve">Figure </w:t>
                      </w:r>
                      <w:r w:rsidRPr="00B76659">
                        <w:rPr>
                          <w:b/>
                          <w:bCs w:val="0"/>
                          <w:i w:val="0"/>
                          <w:iCs w:val="0"/>
                          <w:color w:val="auto"/>
                          <w:sz w:val="16"/>
                          <w:szCs w:val="16"/>
                        </w:rPr>
                        <w:fldChar w:fldCharType="begin"/>
                      </w:r>
                      <w:r w:rsidRPr="00B76659">
                        <w:rPr>
                          <w:b/>
                          <w:bCs w:val="0"/>
                          <w:i w:val="0"/>
                          <w:iCs w:val="0"/>
                          <w:color w:val="auto"/>
                          <w:sz w:val="16"/>
                          <w:szCs w:val="16"/>
                        </w:rPr>
                        <w:instrText xml:space="preserve"> SEQ Figure \* ARABIC </w:instrText>
                      </w:r>
                      <w:r w:rsidRPr="00B76659">
                        <w:rPr>
                          <w:b/>
                          <w:bCs w:val="0"/>
                          <w:i w:val="0"/>
                          <w:iCs w:val="0"/>
                          <w:color w:val="auto"/>
                          <w:sz w:val="16"/>
                          <w:szCs w:val="16"/>
                        </w:rPr>
                        <w:fldChar w:fldCharType="separate"/>
                      </w:r>
                      <w:r w:rsidR="00A128F0">
                        <w:rPr>
                          <w:b/>
                          <w:bCs w:val="0"/>
                          <w:i w:val="0"/>
                          <w:iCs w:val="0"/>
                          <w:noProof/>
                          <w:color w:val="auto"/>
                          <w:sz w:val="16"/>
                          <w:szCs w:val="16"/>
                        </w:rPr>
                        <w:t>1</w:t>
                      </w:r>
                      <w:r w:rsidRPr="00B76659">
                        <w:rPr>
                          <w:b/>
                          <w:bCs w:val="0"/>
                          <w:i w:val="0"/>
                          <w:iCs w:val="0"/>
                          <w:color w:val="auto"/>
                          <w:sz w:val="16"/>
                          <w:szCs w:val="16"/>
                        </w:rPr>
                        <w:fldChar w:fldCharType="end"/>
                      </w:r>
                      <w:r w:rsidRPr="00B76659">
                        <w:rPr>
                          <w:b/>
                          <w:bCs w:val="0"/>
                          <w:i w:val="0"/>
                          <w:iCs w:val="0"/>
                          <w:color w:val="auto"/>
                          <w:sz w:val="16"/>
                          <w:szCs w:val="16"/>
                        </w:rPr>
                        <w:t>.</w:t>
                      </w:r>
                      <w:r w:rsidRPr="00B76659">
                        <w:rPr>
                          <w:i w:val="0"/>
                          <w:iCs w:val="0"/>
                          <w:color w:val="auto"/>
                          <w:sz w:val="16"/>
                          <w:szCs w:val="16"/>
                        </w:rPr>
                        <w:t xml:space="preserve"> Model of the Predictors of Iranian EFL Teachers’ TM</w:t>
                      </w:r>
                    </w:p>
                  </w:txbxContent>
                </v:textbox>
                <w10:wrap type="topAndBottom"/>
              </v:shape>
            </w:pict>
          </mc:Fallback>
        </mc:AlternateContent>
      </w:r>
      <w:r w:rsidRPr="008C06FE">
        <w:rPr>
          <w:noProof/>
          <w:sz w:val="24"/>
          <w:szCs w:val="24"/>
        </w:rPr>
        <w:drawing>
          <wp:anchor distT="0" distB="0" distL="114300" distR="114300" simplePos="0" relativeHeight="251659264" behindDoc="0" locked="0" layoutInCell="1" allowOverlap="1" wp14:anchorId="147A1EF8" wp14:editId="069643D3">
            <wp:simplePos x="0" y="0"/>
            <wp:positionH relativeFrom="margin">
              <wp:posOffset>1280160</wp:posOffset>
            </wp:positionH>
            <wp:positionV relativeFrom="paragraph">
              <wp:posOffset>183769</wp:posOffset>
            </wp:positionV>
            <wp:extent cx="4048125" cy="3615690"/>
            <wp:effectExtent l="0" t="0" r="9525" b="381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4048125" cy="3615690"/>
                    </a:xfrm>
                    <a:prstGeom prst="rect">
                      <a:avLst/>
                    </a:prstGeom>
                  </pic:spPr>
                </pic:pic>
              </a:graphicData>
            </a:graphic>
            <wp14:sizeRelH relativeFrom="margin">
              <wp14:pctWidth>0</wp14:pctWidth>
            </wp14:sizeRelH>
            <wp14:sizeRelV relativeFrom="margin">
              <wp14:pctHeight>0</wp14:pctHeight>
            </wp14:sizeRelV>
          </wp:anchor>
        </w:drawing>
      </w:r>
      <w:bookmarkEnd w:id="15"/>
    </w:p>
    <w:p w14:paraId="2C33134D" w14:textId="2F9E842A" w:rsidR="00B76659" w:rsidRDefault="00AE3E22" w:rsidP="00AE3E22">
      <w:pPr>
        <w:spacing w:line="276" w:lineRule="auto"/>
      </w:pPr>
      <w:bookmarkStart w:id="16" w:name="FIG2"/>
      <w:r>
        <w:rPr>
          <w:noProof/>
        </w:rPr>
        <w:lastRenderedPageBreak/>
        <mc:AlternateContent>
          <mc:Choice Requires="wps">
            <w:drawing>
              <wp:anchor distT="0" distB="0" distL="114300" distR="114300" simplePos="0" relativeHeight="251665408" behindDoc="0" locked="0" layoutInCell="1" allowOverlap="1" wp14:anchorId="0DBF1C55" wp14:editId="6DB324B8">
                <wp:simplePos x="0" y="0"/>
                <wp:positionH relativeFrom="column">
                  <wp:posOffset>1177925</wp:posOffset>
                </wp:positionH>
                <wp:positionV relativeFrom="paragraph">
                  <wp:posOffset>3427527</wp:posOffset>
                </wp:positionV>
                <wp:extent cx="3981450" cy="635"/>
                <wp:effectExtent l="0" t="0" r="0" b="0"/>
                <wp:wrapTopAndBottom/>
                <wp:docPr id="5" name="Text Box 5"/>
                <wp:cNvGraphicFramePr/>
                <a:graphic xmlns:a="http://schemas.openxmlformats.org/drawingml/2006/main">
                  <a:graphicData uri="http://schemas.microsoft.com/office/word/2010/wordprocessingShape">
                    <wps:wsp>
                      <wps:cNvSpPr txBox="1"/>
                      <wps:spPr>
                        <a:xfrm>
                          <a:off x="0" y="0"/>
                          <a:ext cx="3981450" cy="635"/>
                        </a:xfrm>
                        <a:prstGeom prst="rect">
                          <a:avLst/>
                        </a:prstGeom>
                        <a:solidFill>
                          <a:prstClr val="white"/>
                        </a:solidFill>
                        <a:ln>
                          <a:noFill/>
                        </a:ln>
                      </wps:spPr>
                      <wps:txbx>
                        <w:txbxContent>
                          <w:p w14:paraId="16714A9C" w14:textId="371A3B3C" w:rsidR="00E73C30" w:rsidRPr="00E73C30" w:rsidRDefault="00E73C30" w:rsidP="00E73C30">
                            <w:pPr>
                              <w:pStyle w:val="Caption"/>
                              <w:jc w:val="center"/>
                              <w:rPr>
                                <w:i w:val="0"/>
                                <w:iCs w:val="0"/>
                                <w:noProof/>
                                <w:color w:val="auto"/>
                                <w:sz w:val="22"/>
                                <w:szCs w:val="22"/>
                              </w:rPr>
                            </w:pPr>
                            <w:r w:rsidRPr="00E73C30">
                              <w:rPr>
                                <w:b/>
                                <w:bCs w:val="0"/>
                                <w:i w:val="0"/>
                                <w:iCs w:val="0"/>
                                <w:color w:val="auto"/>
                                <w:sz w:val="16"/>
                                <w:szCs w:val="16"/>
                              </w:rPr>
                              <w:t xml:space="preserve">Figure </w:t>
                            </w:r>
                            <w:r w:rsidRPr="00E73C30">
                              <w:rPr>
                                <w:b/>
                                <w:bCs w:val="0"/>
                                <w:i w:val="0"/>
                                <w:iCs w:val="0"/>
                                <w:color w:val="auto"/>
                                <w:sz w:val="16"/>
                                <w:szCs w:val="16"/>
                              </w:rPr>
                              <w:fldChar w:fldCharType="begin"/>
                            </w:r>
                            <w:r w:rsidRPr="00E73C30">
                              <w:rPr>
                                <w:b/>
                                <w:bCs w:val="0"/>
                                <w:i w:val="0"/>
                                <w:iCs w:val="0"/>
                                <w:color w:val="auto"/>
                                <w:sz w:val="16"/>
                                <w:szCs w:val="16"/>
                              </w:rPr>
                              <w:instrText xml:space="preserve"> SEQ Figure \* ARABIC </w:instrText>
                            </w:r>
                            <w:r w:rsidRPr="00E73C30">
                              <w:rPr>
                                <w:b/>
                                <w:bCs w:val="0"/>
                                <w:i w:val="0"/>
                                <w:iCs w:val="0"/>
                                <w:color w:val="auto"/>
                                <w:sz w:val="16"/>
                                <w:szCs w:val="16"/>
                              </w:rPr>
                              <w:fldChar w:fldCharType="separate"/>
                            </w:r>
                            <w:r w:rsidR="00A128F0">
                              <w:rPr>
                                <w:b/>
                                <w:bCs w:val="0"/>
                                <w:i w:val="0"/>
                                <w:iCs w:val="0"/>
                                <w:noProof/>
                                <w:color w:val="auto"/>
                                <w:sz w:val="16"/>
                                <w:szCs w:val="16"/>
                              </w:rPr>
                              <w:t>2</w:t>
                            </w:r>
                            <w:r w:rsidRPr="00E73C30">
                              <w:rPr>
                                <w:b/>
                                <w:bCs w:val="0"/>
                                <w:i w:val="0"/>
                                <w:iCs w:val="0"/>
                                <w:color w:val="auto"/>
                                <w:sz w:val="16"/>
                                <w:szCs w:val="16"/>
                              </w:rPr>
                              <w:fldChar w:fldCharType="end"/>
                            </w:r>
                            <w:r w:rsidRPr="00E73C30">
                              <w:rPr>
                                <w:b/>
                                <w:bCs w:val="0"/>
                                <w:i w:val="0"/>
                                <w:iCs w:val="0"/>
                                <w:color w:val="auto"/>
                                <w:sz w:val="16"/>
                                <w:szCs w:val="16"/>
                              </w:rPr>
                              <w:t>.</w:t>
                            </w:r>
                            <w:r w:rsidRPr="00E73C30">
                              <w:rPr>
                                <w:i w:val="0"/>
                                <w:iCs w:val="0"/>
                                <w:color w:val="auto"/>
                                <w:sz w:val="16"/>
                                <w:szCs w:val="16"/>
                              </w:rPr>
                              <w:t xml:space="preserve"> Model of the Predictors of Iranian EFL Teachers’ TM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DBF1C55" id="Text Box 5" o:spid="_x0000_s1027" type="#_x0000_t202" style="position:absolute;left:0;text-align:left;margin-left:92.75pt;margin-top:269.9pt;width:313.5pt;height:.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" stroked="f">
                <v:textbox style="mso-fit-shape-to-text:t" inset="0,0,0,0">
                  <w:txbxContent>
                    <w:p w14:paraId="16714A9C" w14:textId="371A3B3C" w:rsidR="00E73C30" w:rsidRPr="00E73C30" w:rsidRDefault="00E73C30" w:rsidP="00E73C30">
                      <w:pPr>
                        <w:pStyle w:val="Caption"/>
                        <w:jc w:val="center"/>
                        <w:rPr>
                          <w:i w:val="0"/>
                          <w:iCs w:val="0"/>
                          <w:noProof/>
                          <w:color w:val="auto"/>
                          <w:sz w:val="22"/>
                          <w:szCs w:val="22"/>
                        </w:rPr>
                      </w:pPr>
                      <w:r w:rsidRPr="00E73C30">
                        <w:rPr>
                          <w:b/>
                          <w:bCs w:val="0"/>
                          <w:i w:val="0"/>
                          <w:iCs w:val="0"/>
                          <w:color w:val="auto"/>
                          <w:sz w:val="16"/>
                          <w:szCs w:val="16"/>
                        </w:rPr>
                        <w:t xml:space="preserve">Figure </w:t>
                      </w:r>
                      <w:r w:rsidRPr="00E73C30">
                        <w:rPr>
                          <w:b/>
                          <w:bCs w:val="0"/>
                          <w:i w:val="0"/>
                          <w:iCs w:val="0"/>
                          <w:color w:val="auto"/>
                          <w:sz w:val="16"/>
                          <w:szCs w:val="16"/>
                        </w:rPr>
                        <w:fldChar w:fldCharType="begin"/>
                      </w:r>
                      <w:r w:rsidRPr="00E73C30">
                        <w:rPr>
                          <w:b/>
                          <w:bCs w:val="0"/>
                          <w:i w:val="0"/>
                          <w:iCs w:val="0"/>
                          <w:color w:val="auto"/>
                          <w:sz w:val="16"/>
                          <w:szCs w:val="16"/>
                        </w:rPr>
                        <w:instrText xml:space="preserve"> SEQ Figure \* ARABIC </w:instrText>
                      </w:r>
                      <w:r w:rsidRPr="00E73C30">
                        <w:rPr>
                          <w:b/>
                          <w:bCs w:val="0"/>
                          <w:i w:val="0"/>
                          <w:iCs w:val="0"/>
                          <w:color w:val="auto"/>
                          <w:sz w:val="16"/>
                          <w:szCs w:val="16"/>
                        </w:rPr>
                        <w:fldChar w:fldCharType="separate"/>
                      </w:r>
                      <w:r w:rsidR="00A128F0">
                        <w:rPr>
                          <w:b/>
                          <w:bCs w:val="0"/>
                          <w:i w:val="0"/>
                          <w:iCs w:val="0"/>
                          <w:noProof/>
                          <w:color w:val="auto"/>
                          <w:sz w:val="16"/>
                          <w:szCs w:val="16"/>
                        </w:rPr>
                        <w:t>2</w:t>
                      </w:r>
                      <w:r w:rsidRPr="00E73C30">
                        <w:rPr>
                          <w:b/>
                          <w:bCs w:val="0"/>
                          <w:i w:val="0"/>
                          <w:iCs w:val="0"/>
                          <w:color w:val="auto"/>
                          <w:sz w:val="16"/>
                          <w:szCs w:val="16"/>
                        </w:rPr>
                        <w:fldChar w:fldCharType="end"/>
                      </w:r>
                      <w:r w:rsidRPr="00E73C30">
                        <w:rPr>
                          <w:b/>
                          <w:bCs w:val="0"/>
                          <w:i w:val="0"/>
                          <w:iCs w:val="0"/>
                          <w:color w:val="auto"/>
                          <w:sz w:val="16"/>
                          <w:szCs w:val="16"/>
                        </w:rPr>
                        <w:t>.</w:t>
                      </w:r>
                      <w:r w:rsidRPr="00E73C30">
                        <w:rPr>
                          <w:i w:val="0"/>
                          <w:iCs w:val="0"/>
                          <w:color w:val="auto"/>
                          <w:sz w:val="16"/>
                          <w:szCs w:val="16"/>
                        </w:rPr>
                        <w:t xml:space="preserve"> Model of the Predictors of Iranian EFL Teachers’ TM</w:t>
                      </w:r>
                    </w:p>
                  </w:txbxContent>
                </v:textbox>
                <w10:wrap type="topAndBottom"/>
              </v:shape>
            </w:pict>
          </mc:Fallback>
        </mc:AlternateContent>
      </w:r>
      <w:r w:rsidRPr="008C06FE">
        <w:rPr>
          <w:noProof/>
          <w:sz w:val="24"/>
          <w:szCs w:val="24"/>
        </w:rPr>
        <w:drawing>
          <wp:anchor distT="0" distB="0" distL="114300" distR="114300" simplePos="0" relativeHeight="251661312" behindDoc="0" locked="0" layoutInCell="1" allowOverlap="1" wp14:anchorId="52B75BAF" wp14:editId="3F9F72E5">
            <wp:simplePos x="0" y="0"/>
            <wp:positionH relativeFrom="margin">
              <wp:posOffset>1112088</wp:posOffset>
            </wp:positionH>
            <wp:positionV relativeFrom="paragraph">
              <wp:posOffset>82068</wp:posOffset>
            </wp:positionV>
            <wp:extent cx="3981450" cy="328549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3981450" cy="3285490"/>
                    </a:xfrm>
                    <a:prstGeom prst="rect">
                      <a:avLst/>
                    </a:prstGeom>
                  </pic:spPr>
                </pic:pic>
              </a:graphicData>
            </a:graphic>
            <wp14:sizeRelH relativeFrom="margin">
              <wp14:pctWidth>0</wp14:pctWidth>
            </wp14:sizeRelH>
            <wp14:sizeRelV relativeFrom="margin">
              <wp14:pctHeight>0</wp14:pctHeight>
            </wp14:sizeRelV>
          </wp:anchor>
        </w:drawing>
      </w:r>
      <w:bookmarkEnd w:id="16"/>
    </w:p>
    <w:p w14:paraId="1A6824BA" w14:textId="4801BADC" w:rsidR="00E73C30" w:rsidRDefault="00B76659" w:rsidP="00E73C30">
      <w:pPr>
        <w:keepNext/>
        <w:spacing w:line="276" w:lineRule="auto"/>
        <w:jc w:val="center"/>
      </w:pPr>
      <w:bookmarkStart w:id="17" w:name="FIG3"/>
      <w:r w:rsidRPr="008C06FE">
        <w:rPr>
          <w:noProof/>
          <w:sz w:val="24"/>
          <w:szCs w:val="24"/>
        </w:rPr>
        <w:drawing>
          <wp:inline distT="0" distB="0" distL="0" distR="0" wp14:anchorId="13C37A07" wp14:editId="4D2D1637">
            <wp:extent cx="4180114" cy="2030681"/>
            <wp:effectExtent l="0" t="0" r="11430" b="825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bookmarkEnd w:id="17"/>
    </w:p>
    <w:p w14:paraId="12D63BC5" w14:textId="7C369CB0" w:rsidR="00B76659" w:rsidRPr="00E73C30" w:rsidRDefault="00E73C30" w:rsidP="00E73C30">
      <w:pPr>
        <w:pStyle w:val="Caption"/>
        <w:spacing w:before="120" w:after="0"/>
        <w:jc w:val="center"/>
        <w:rPr>
          <w:i w:val="0"/>
          <w:iCs w:val="0"/>
          <w:color w:val="auto"/>
          <w:sz w:val="16"/>
          <w:szCs w:val="16"/>
        </w:rPr>
      </w:pPr>
      <w:r w:rsidRPr="00E73C30">
        <w:rPr>
          <w:b/>
          <w:bCs w:val="0"/>
          <w:i w:val="0"/>
          <w:iCs w:val="0"/>
          <w:color w:val="auto"/>
          <w:sz w:val="16"/>
          <w:szCs w:val="16"/>
        </w:rPr>
        <w:t>Figure 3.</w:t>
      </w:r>
      <w:r w:rsidRPr="00E73C30">
        <w:rPr>
          <w:i w:val="0"/>
          <w:iCs w:val="0"/>
          <w:color w:val="auto"/>
          <w:sz w:val="16"/>
          <w:szCs w:val="16"/>
        </w:rPr>
        <w:t xml:space="preserve"> German and Iranian Teachers’ TM</w:t>
      </w:r>
    </w:p>
    <w:p w14:paraId="4C15881D" w14:textId="37594D22" w:rsidR="00B76659" w:rsidRDefault="00B76659" w:rsidP="00374332">
      <w:pPr>
        <w:spacing w:line="276" w:lineRule="auto"/>
      </w:pPr>
    </w:p>
    <w:p w14:paraId="4F3D4AC3" w14:textId="046D460E" w:rsidR="00B76659" w:rsidRDefault="00B76659" w:rsidP="00374332">
      <w:pPr>
        <w:spacing w:line="276" w:lineRule="auto"/>
        <w:sectPr w:rsidR="00B76659" w:rsidSect="00B76659">
          <w:type w:val="continuous"/>
          <w:pgSz w:w="11909" w:h="16834" w:code="9"/>
          <w:pgMar w:top="1282" w:right="1109" w:bottom="1253" w:left="1109" w:header="720" w:footer="720" w:gutter="0"/>
          <w:cols w:space="720"/>
          <w:docGrid w:linePitch="360"/>
        </w:sectPr>
      </w:pPr>
    </w:p>
    <w:p w14:paraId="35838B67" w14:textId="7622D077" w:rsidR="003D2F1B" w:rsidRPr="00374332" w:rsidRDefault="003D2F1B" w:rsidP="00374332">
      <w:pPr>
        <w:spacing w:line="276" w:lineRule="auto"/>
        <w:jc w:val="center"/>
        <w:rPr>
          <w:b/>
          <w:bCs w:val="0"/>
          <w:sz w:val="22"/>
          <w:szCs w:val="22"/>
        </w:rPr>
      </w:pPr>
      <w:r w:rsidRPr="00374332">
        <w:rPr>
          <w:b/>
          <w:bCs w:val="0"/>
          <w:sz w:val="22"/>
          <w:szCs w:val="22"/>
        </w:rPr>
        <w:t>Conclusion</w:t>
      </w:r>
    </w:p>
    <w:p w14:paraId="7796F2A8" w14:textId="77777777" w:rsidR="00374332" w:rsidRPr="00374332" w:rsidRDefault="00374332" w:rsidP="00374332">
      <w:pPr>
        <w:spacing w:line="276" w:lineRule="auto"/>
        <w:jc w:val="center"/>
        <w:rPr>
          <w:b/>
        </w:rPr>
      </w:pPr>
    </w:p>
    <w:p w14:paraId="1287B3CE" w14:textId="585AD5C1" w:rsidR="003D2F1B" w:rsidRPr="00374332" w:rsidRDefault="003D2F1B" w:rsidP="00374332">
      <w:pPr>
        <w:spacing w:line="276" w:lineRule="auto"/>
        <w:rPr>
          <w:bCs w:val="0"/>
        </w:rPr>
      </w:pPr>
      <w:r w:rsidRPr="00374332">
        <w:t xml:space="preserve">The present study strived to determine the main predictors of German and Iranian teachers’ TM. Moreover, it examined the difference between the TM of these groups of language teachers. Based on the results, while German teachers’ TE and WE were the main factors in their TM, Iranian teachers’ ER and WE constituted the significant predictors of their TM in their settings.      </w:t>
      </w:r>
    </w:p>
    <w:p w14:paraId="7B09A0F3" w14:textId="02040632" w:rsidR="003D2F1B" w:rsidRPr="00374332" w:rsidRDefault="00374332" w:rsidP="00374332">
      <w:pPr>
        <w:spacing w:line="276" w:lineRule="auto"/>
      </w:pPr>
      <w:r>
        <w:t xml:space="preserve">   </w:t>
      </w:r>
      <w:r w:rsidR="003D2F1B" w:rsidRPr="00374332">
        <w:t xml:space="preserve">It is possible to draw a number of conclusions based on these results. First, EFL syllabus designers have to provide the language teachers with effective teaching manuals that provide them with adequate information on their main factors including their TM and make them aware of the consequential role of the relevant factors in </w:t>
      </w:r>
      <w:r w:rsidR="003D2F1B" w:rsidRPr="00374332">
        <w:t>their language teaching.  The need for these manuals becomes more apparent in the case of Iranian teachers. The relevant manuals have to empower the teachers to use efficient stress-management strategies. Moreover, they should enable them to capitalize on their internal resources, including their ER, WE, and TE in order to deal with the stress-inducing factors in the process of second language instruction.</w:t>
      </w:r>
    </w:p>
    <w:p w14:paraId="3B70968B" w14:textId="31FA65D2" w:rsidR="003D2F1B" w:rsidRPr="00374332" w:rsidRDefault="00374332" w:rsidP="00374332">
      <w:pPr>
        <w:spacing w:line="276" w:lineRule="auto"/>
      </w:pPr>
      <w:r>
        <w:t xml:space="preserve">   </w:t>
      </w:r>
      <w:r w:rsidR="003D2F1B" w:rsidRPr="00374332">
        <w:t xml:space="preserve">Second, there is a need to redress the current teacher education courses in the EFL contexts including the Iranian context. The examination of the content of these courses shows that they mainly focus on the practical issues of language instruction and disregard the theoretical issues including teacher variables. Furthermore, most of the teacher educators of these courses do not apprise the teachers of the impact of their </w:t>
      </w:r>
      <w:r w:rsidR="003D2F1B" w:rsidRPr="00374332">
        <w:lastRenderedPageBreak/>
        <w:t>variables such as their TM on their instructional efficacy.  Considering these issues, it can be argued that it is necessary to add a module to the present teacher education courses that informs the teachers about their affective factors and helps them to capitalize on them to ameliorate their teaching capabilities. In addition, teacher-education course developers have to re-educate the teacher educators in terms of teacher factors to enable them to include teacher-factor-based education in the current courses.</w:t>
      </w:r>
    </w:p>
    <w:p w14:paraId="694C2D88" w14:textId="739CDBEA" w:rsidR="003D2F1B" w:rsidRPr="00374332" w:rsidRDefault="00374332" w:rsidP="00374332">
      <w:pPr>
        <w:spacing w:line="276" w:lineRule="auto"/>
      </w:pPr>
      <w:r>
        <w:t xml:space="preserve">   </w:t>
      </w:r>
      <w:r w:rsidR="003D2F1B" w:rsidRPr="00374332">
        <w:t xml:space="preserve">Finally, English teachers have to develop a satisfactory understanding of their own affective variables that influence their teaching practices. Regarding this issue, teachers can attend diverse national and international events such as webinars and education courses to become aware of the affective strategies that can increase their TM and may enable them to deal with sources of stress. Additionally, teachers can take advantage of their peers and supervisors’ support to stifle their negative emotions that decrease their TM and interfere with their effective language teaching. </w:t>
      </w:r>
    </w:p>
    <w:p w14:paraId="2A7BAED9" w14:textId="15FA3ACE" w:rsidR="003D2F1B" w:rsidRDefault="00374332" w:rsidP="00374332">
      <w:pPr>
        <w:spacing w:line="276" w:lineRule="auto"/>
      </w:pPr>
      <w:r>
        <w:t xml:space="preserve">   </w:t>
      </w:r>
      <w:r w:rsidR="003D2F1B" w:rsidRPr="00374332">
        <w:t xml:space="preserve">The present study suffered from certain limitations since the researchers were not able to control the impacts of the participants’ gender, age, language background, and experience on the results. Furthermore, they delimited the study by focusing on German and Iranian teachers’ ER, WE, and TE as predictors of their TM without dealing with the other factors such as their emotional intelligence and spiritual intelligence among the others. The future studies need to deal with these issues. Furthermore, they need to use mixed-methods designs to delve more deeply into the predictors of language teachers’ TM. Finally, these studies have to be conducted in different settings including schools and universities among the others. </w:t>
      </w:r>
    </w:p>
    <w:p w14:paraId="3BAEA343" w14:textId="77777777" w:rsidR="00733EAE" w:rsidRDefault="00733EAE" w:rsidP="00374332">
      <w:pPr>
        <w:spacing w:line="276" w:lineRule="auto"/>
      </w:pPr>
    </w:p>
    <w:p w14:paraId="68FE2DD7" w14:textId="739E7633" w:rsidR="00374332" w:rsidRPr="00374332" w:rsidRDefault="00733EAE" w:rsidP="00374332">
      <w:pPr>
        <w:spacing w:line="276" w:lineRule="auto"/>
      </w:pPr>
      <w:r>
        <w:rPr>
          <w:noProof/>
        </w:rPr>
        <mc:AlternateContent>
          <mc:Choice Requires="wps">
            <w:drawing>
              <wp:inline distT="0" distB="0" distL="0" distR="0" wp14:anchorId="21296D4D" wp14:editId="01D98D12">
                <wp:extent cx="2847975" cy="1550822"/>
                <wp:effectExtent l="0" t="0" r="28575" b="11430"/>
                <wp:docPr id="138380298"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975" cy="1550822"/>
                        </a:xfrm>
                        <a:prstGeom prst="roundRect">
                          <a:avLst>
                            <a:gd name="adj" fmla="val 8620"/>
                          </a:avLst>
                        </a:prstGeom>
                        <a:solidFill>
                          <a:srgbClr val="EFF5FB"/>
                        </a:solidFill>
                        <a:ln w="12700">
                          <a:solidFill>
                            <a:srgbClr val="002060"/>
                          </a:solidFill>
                          <a:miter lim="800000"/>
                          <a:headEnd/>
                          <a:tailEnd/>
                        </a:ln>
                      </wps:spPr>
                      <wps:txbx>
                        <w:txbxContent>
                          <w:p w14:paraId="17B2EC6D" w14:textId="77777777" w:rsidR="00733EAE" w:rsidRPr="004E1002" w:rsidRDefault="00733EAE" w:rsidP="00153858">
                            <w:pPr>
                              <w:ind w:left="288" w:right="144"/>
                              <w:rPr>
                                <w:b/>
                                <w:bCs w:val="0"/>
                                <w:color w:val="002060"/>
                                <w:sz w:val="16"/>
                                <w:szCs w:val="16"/>
                              </w:rPr>
                            </w:pPr>
                            <w:r w:rsidRPr="004E1002">
                              <w:rPr>
                                <w:b/>
                                <w:color w:val="002060"/>
                                <w:sz w:val="16"/>
                                <w:szCs w:val="16"/>
                              </w:rPr>
                              <w:t>Authors Contribution</w:t>
                            </w:r>
                          </w:p>
                          <w:p w14:paraId="4624D568" w14:textId="77777777" w:rsidR="00733EAE" w:rsidRPr="004E1002" w:rsidRDefault="00733EAE" w:rsidP="00153858">
                            <w:pPr>
                              <w:spacing w:after="120"/>
                              <w:ind w:left="288"/>
                              <w:rPr>
                                <w:bCs w:val="0"/>
                                <w:color w:val="002060"/>
                                <w:sz w:val="16"/>
                                <w:szCs w:val="16"/>
                                <w:lang w:val="pt-BR" w:eastAsia="pt-BR"/>
                              </w:rPr>
                            </w:pPr>
                            <w:r w:rsidRPr="004E1002">
                              <w:rPr>
                                <w:bCs w:val="0"/>
                                <w:color w:val="002060"/>
                                <w:sz w:val="16"/>
                                <w:szCs w:val="16"/>
                                <w:lang w:val="pt-BR" w:eastAsia="pt-BR"/>
                              </w:rPr>
                              <w:t>All authors have contributed equally to prepare the paper.</w:t>
                            </w:r>
                          </w:p>
                          <w:p w14:paraId="0E1BDF62" w14:textId="77777777" w:rsidR="00733EAE" w:rsidRPr="004E1002" w:rsidRDefault="00733EAE" w:rsidP="00153858">
                            <w:pPr>
                              <w:ind w:left="288" w:right="144"/>
                              <w:rPr>
                                <w:b/>
                                <w:bCs w:val="0"/>
                                <w:color w:val="002060"/>
                                <w:sz w:val="16"/>
                                <w:szCs w:val="16"/>
                              </w:rPr>
                            </w:pPr>
                            <w:r w:rsidRPr="004E1002">
                              <w:rPr>
                                <w:b/>
                                <w:color w:val="002060"/>
                                <w:sz w:val="16"/>
                                <w:szCs w:val="16"/>
                              </w:rPr>
                              <w:t>Availability of data and materials</w:t>
                            </w:r>
                          </w:p>
                          <w:p w14:paraId="5E557BF4" w14:textId="77777777" w:rsidR="00733EAE" w:rsidRPr="004E1002" w:rsidRDefault="00733EAE" w:rsidP="00153858">
                            <w:pPr>
                              <w:spacing w:after="120"/>
                              <w:ind w:left="288" w:right="144"/>
                              <w:rPr>
                                <w:b/>
                                <w:bCs w:val="0"/>
                                <w:color w:val="002060"/>
                                <w:sz w:val="16"/>
                                <w:szCs w:val="16"/>
                              </w:rPr>
                            </w:pPr>
                            <w:r w:rsidRPr="004E1002">
                              <w:rPr>
                                <w:color w:val="002060"/>
                                <w:sz w:val="16"/>
                                <w:szCs w:val="16"/>
                              </w:rPr>
                              <w:t>The data that support the findings of this study are available from the corresponding author, upon reasonable request.</w:t>
                            </w:r>
                          </w:p>
                          <w:p w14:paraId="1081392D" w14:textId="77777777" w:rsidR="00733EAE" w:rsidRPr="004E1002" w:rsidRDefault="00733EAE" w:rsidP="00153858">
                            <w:pPr>
                              <w:ind w:left="288" w:right="144"/>
                              <w:rPr>
                                <w:b/>
                                <w:bCs w:val="0"/>
                                <w:color w:val="002060"/>
                                <w:sz w:val="16"/>
                                <w:szCs w:val="16"/>
                                <w:rtl/>
                              </w:rPr>
                            </w:pPr>
                            <w:r w:rsidRPr="004E1002">
                              <w:rPr>
                                <w:b/>
                                <w:color w:val="002060"/>
                                <w:sz w:val="16"/>
                                <w:szCs w:val="16"/>
                              </w:rPr>
                              <w:t>Conflict of interests</w:t>
                            </w:r>
                          </w:p>
                          <w:p w14:paraId="487B3EA7" w14:textId="77777777" w:rsidR="00733EAE" w:rsidRDefault="00733EAE" w:rsidP="00153858">
                            <w:pPr>
                              <w:ind w:left="288"/>
                              <w:rPr>
                                <w:color w:val="002060"/>
                                <w:sz w:val="16"/>
                                <w:szCs w:val="16"/>
                              </w:rPr>
                            </w:pPr>
                            <w:r w:rsidRPr="004E1002">
                              <w:rPr>
                                <w:color w:val="002060"/>
                                <w:sz w:val="16"/>
                                <w:szCs w:val="16"/>
                              </w:rPr>
                              <w:t>The authors declare that they have no known competing financial interests or personal relationships that could have appeared to influence the work reported in this paper.</w:t>
                            </w:r>
                          </w:p>
                          <w:p w14:paraId="3B1F5533" w14:textId="77777777" w:rsidR="00733EAE" w:rsidRDefault="00733EAE" w:rsidP="00733EAE">
                            <w:pPr>
                              <w:jc w:val="left"/>
                            </w:pPr>
                          </w:p>
                        </w:txbxContent>
                      </wps:txbx>
                      <wps:bodyPr rot="0" vert="horz" wrap="square" lIns="91440" tIns="45720" rIns="91440" bIns="45720" anchor="ctr" anchorCtr="0" upright="1">
                        <a:noAutofit/>
                      </wps:bodyPr>
                    </wps:wsp>
                  </a:graphicData>
                </a:graphic>
              </wp:inline>
            </w:drawing>
          </mc:Choice>
          <mc:Fallback>
            <w:pict>
              <v:roundrect w14:anchorId="21296D4D" id="Rectangle: Rounded Corners 1" o:spid="_x0000_s1028" style="width:224.25pt;height:122.1pt;visibility:visible;mso-wrap-style:square;mso-left-percent:-10001;mso-top-percent:-10001;mso-position-horizontal:absolute;mso-position-horizontal-relative:char;mso-position-vertical:absolute;mso-position-vertical-relative:line;mso-left-percent:-10001;mso-top-percent:-10001;v-text-anchor:middle" arcsize="56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" fillcolor="#eff5fb" strokecolor="#002060" strokeweight="1pt">
                <v:stroke joinstyle="miter"/>
                <v:textbox>
                  <w:txbxContent>
                    <w:p w14:paraId="17B2EC6D" w14:textId="77777777" w:rsidR="00733EAE" w:rsidRPr="004E1002" w:rsidRDefault="00733EAE" w:rsidP="00153858">
                      <w:pPr>
                        <w:ind w:left="288" w:right="144"/>
                        <w:rPr>
                          <w:b/>
                          <w:bCs w:val="0"/>
                          <w:color w:val="002060"/>
                          <w:sz w:val="16"/>
                          <w:szCs w:val="16"/>
                        </w:rPr>
                      </w:pPr>
                      <w:r w:rsidRPr="004E1002">
                        <w:rPr>
                          <w:b/>
                          <w:color w:val="002060"/>
                          <w:sz w:val="16"/>
                          <w:szCs w:val="16"/>
                        </w:rPr>
                        <w:t>Authors Contribution</w:t>
                      </w:r>
                    </w:p>
                    <w:p w14:paraId="4624D568" w14:textId="77777777" w:rsidR="00733EAE" w:rsidRPr="004E1002" w:rsidRDefault="00733EAE" w:rsidP="00153858">
                      <w:pPr>
                        <w:spacing w:after="120"/>
                        <w:ind w:left="288"/>
                        <w:rPr>
                          <w:bCs w:val="0"/>
                          <w:color w:val="002060"/>
                          <w:sz w:val="16"/>
                          <w:szCs w:val="16"/>
                          <w:lang w:val="pt-BR" w:eastAsia="pt-BR"/>
                        </w:rPr>
                      </w:pPr>
                      <w:r w:rsidRPr="004E1002">
                        <w:rPr>
                          <w:bCs w:val="0"/>
                          <w:color w:val="002060"/>
                          <w:sz w:val="16"/>
                          <w:szCs w:val="16"/>
                          <w:lang w:val="pt-BR" w:eastAsia="pt-BR"/>
                        </w:rPr>
                        <w:t>All authors have contributed equally to prepare the paper.</w:t>
                      </w:r>
                    </w:p>
                    <w:p w14:paraId="0E1BDF62" w14:textId="77777777" w:rsidR="00733EAE" w:rsidRPr="004E1002" w:rsidRDefault="00733EAE" w:rsidP="00153858">
                      <w:pPr>
                        <w:ind w:left="288" w:right="144"/>
                        <w:rPr>
                          <w:b/>
                          <w:bCs w:val="0"/>
                          <w:color w:val="002060"/>
                          <w:sz w:val="16"/>
                          <w:szCs w:val="16"/>
                        </w:rPr>
                      </w:pPr>
                      <w:r w:rsidRPr="004E1002">
                        <w:rPr>
                          <w:b/>
                          <w:color w:val="002060"/>
                          <w:sz w:val="16"/>
                          <w:szCs w:val="16"/>
                        </w:rPr>
                        <w:t>Availability of data and materials</w:t>
                      </w:r>
                    </w:p>
                    <w:p w14:paraId="5E557BF4" w14:textId="77777777" w:rsidR="00733EAE" w:rsidRPr="004E1002" w:rsidRDefault="00733EAE" w:rsidP="00153858">
                      <w:pPr>
                        <w:spacing w:after="120"/>
                        <w:ind w:left="288" w:right="144"/>
                        <w:rPr>
                          <w:b/>
                          <w:bCs w:val="0"/>
                          <w:color w:val="002060"/>
                          <w:sz w:val="16"/>
                          <w:szCs w:val="16"/>
                        </w:rPr>
                      </w:pPr>
                      <w:r w:rsidRPr="004E1002">
                        <w:rPr>
                          <w:color w:val="002060"/>
                          <w:sz w:val="16"/>
                          <w:szCs w:val="16"/>
                        </w:rPr>
                        <w:t>The data that support the findings of this study are available from the corresponding author, upon reasonable request.</w:t>
                      </w:r>
                    </w:p>
                    <w:p w14:paraId="1081392D" w14:textId="77777777" w:rsidR="00733EAE" w:rsidRPr="004E1002" w:rsidRDefault="00733EAE" w:rsidP="00153858">
                      <w:pPr>
                        <w:ind w:left="288" w:right="144"/>
                        <w:rPr>
                          <w:b/>
                          <w:bCs w:val="0"/>
                          <w:color w:val="002060"/>
                          <w:sz w:val="16"/>
                          <w:szCs w:val="16"/>
                          <w:rtl/>
                        </w:rPr>
                      </w:pPr>
                      <w:r w:rsidRPr="004E1002">
                        <w:rPr>
                          <w:b/>
                          <w:color w:val="002060"/>
                          <w:sz w:val="16"/>
                          <w:szCs w:val="16"/>
                        </w:rPr>
                        <w:t>Conflict of interests</w:t>
                      </w:r>
                    </w:p>
                    <w:p w14:paraId="487B3EA7" w14:textId="77777777" w:rsidR="00733EAE" w:rsidRDefault="00733EAE" w:rsidP="00153858">
                      <w:pPr>
                        <w:ind w:left="288"/>
                        <w:rPr>
                          <w:color w:val="002060"/>
                          <w:sz w:val="16"/>
                          <w:szCs w:val="16"/>
                        </w:rPr>
                      </w:pPr>
                      <w:r w:rsidRPr="004E1002">
                        <w:rPr>
                          <w:color w:val="002060"/>
                          <w:sz w:val="16"/>
                          <w:szCs w:val="16"/>
                        </w:rPr>
                        <w:t>The authors declare that they have no known competing financial interests or personal relationships that could have appeared to influence the work reported in this paper.</w:t>
                      </w:r>
                    </w:p>
                    <w:p w14:paraId="3B1F5533" w14:textId="77777777" w:rsidR="00733EAE" w:rsidRDefault="00733EAE" w:rsidP="00733EAE">
                      <w:pPr>
                        <w:jc w:val="left"/>
                      </w:pPr>
                    </w:p>
                  </w:txbxContent>
                </v:textbox>
                <w10:anchorlock/>
              </v:roundrect>
            </w:pict>
          </mc:Fallback>
        </mc:AlternateContent>
      </w:r>
    </w:p>
    <w:p w14:paraId="07AEFB6A" w14:textId="77777777" w:rsidR="00733EAE" w:rsidRDefault="00733EAE" w:rsidP="00374332">
      <w:pPr>
        <w:spacing w:line="276" w:lineRule="auto"/>
        <w:jc w:val="center"/>
        <w:rPr>
          <w:b/>
          <w:bCs w:val="0"/>
          <w:sz w:val="22"/>
          <w:szCs w:val="22"/>
        </w:rPr>
      </w:pPr>
    </w:p>
    <w:p w14:paraId="2EF44C87" w14:textId="317C46A5" w:rsidR="003D2F1B" w:rsidRPr="00374332" w:rsidRDefault="003D2F1B" w:rsidP="00374332">
      <w:pPr>
        <w:spacing w:line="276" w:lineRule="auto"/>
        <w:jc w:val="center"/>
        <w:rPr>
          <w:b/>
          <w:bCs w:val="0"/>
          <w:sz w:val="22"/>
          <w:szCs w:val="22"/>
        </w:rPr>
      </w:pPr>
      <w:r w:rsidRPr="00374332">
        <w:rPr>
          <w:b/>
          <w:bCs w:val="0"/>
          <w:sz w:val="22"/>
          <w:szCs w:val="22"/>
        </w:rPr>
        <w:t>References</w:t>
      </w:r>
    </w:p>
    <w:p w14:paraId="6E5E4B8D" w14:textId="77777777" w:rsidR="00374332" w:rsidRPr="00374332" w:rsidRDefault="00374332" w:rsidP="00374332">
      <w:pPr>
        <w:spacing w:line="276" w:lineRule="auto"/>
        <w:jc w:val="center"/>
      </w:pPr>
    </w:p>
    <w:p w14:paraId="145863CB" w14:textId="77777777" w:rsidR="00810730" w:rsidRPr="00D0247F" w:rsidRDefault="003D2F1B" w:rsidP="00810730">
      <w:pPr>
        <w:spacing w:line="276" w:lineRule="auto"/>
        <w:ind w:left="426" w:hanging="426"/>
        <w:rPr>
          <w:sz w:val="16"/>
          <w:szCs w:val="16"/>
        </w:rPr>
      </w:pPr>
      <w:bookmarkStart w:id="18" w:name="ALEXANDER2020"/>
      <w:r w:rsidRPr="00D0247F">
        <w:rPr>
          <w:sz w:val="16"/>
          <w:szCs w:val="16"/>
        </w:rPr>
        <w:t xml:space="preserve">Alexander, C., Wyatt-Smith, C., &amp; Du Plessis, A. (2020). The role of motivations and perceptions on the retention of in-service teachers. </w:t>
      </w:r>
      <w:r w:rsidRPr="00D0247F">
        <w:rPr>
          <w:i/>
          <w:iCs/>
          <w:sz w:val="16"/>
          <w:szCs w:val="16"/>
        </w:rPr>
        <w:t>Teaching and Teacher Education, 96,</w:t>
      </w:r>
      <w:r w:rsidRPr="00D0247F">
        <w:rPr>
          <w:sz w:val="16"/>
          <w:szCs w:val="16"/>
        </w:rPr>
        <w:t xml:space="preserve"> 103186.</w:t>
      </w:r>
    </w:p>
    <w:p w14:paraId="6D2890CF" w14:textId="28F58EE6" w:rsidR="003D2F1B" w:rsidRPr="00D0247F" w:rsidRDefault="00810730" w:rsidP="00810730">
      <w:pPr>
        <w:spacing w:line="276" w:lineRule="auto"/>
        <w:ind w:left="426"/>
        <w:rPr>
          <w:sz w:val="16"/>
          <w:szCs w:val="16"/>
        </w:rPr>
      </w:pPr>
      <w:r w:rsidRPr="00D0247F">
        <w:rPr>
          <w:sz w:val="16"/>
          <w:szCs w:val="16"/>
        </w:rPr>
        <w:t xml:space="preserve">DOI: </w:t>
      </w:r>
      <w:hyperlink r:id="rId19" w:history="1">
        <w:r w:rsidR="003D2F1B" w:rsidRPr="00D0247F">
          <w:rPr>
            <w:rStyle w:val="Hyperlink"/>
            <w:sz w:val="16"/>
            <w:szCs w:val="16"/>
          </w:rPr>
          <w:t>https://doi.org/10.1016/j.tate.2020.103186</w:t>
        </w:r>
      </w:hyperlink>
      <w:bookmarkEnd w:id="18"/>
    </w:p>
    <w:p w14:paraId="4230BA2C" w14:textId="77777777" w:rsidR="00810730" w:rsidRPr="00D0247F" w:rsidRDefault="003D2F1B" w:rsidP="00810730">
      <w:pPr>
        <w:spacing w:line="276" w:lineRule="auto"/>
        <w:ind w:left="426" w:hanging="426"/>
        <w:rPr>
          <w:sz w:val="16"/>
          <w:szCs w:val="16"/>
        </w:rPr>
      </w:pPr>
      <w:bookmarkStart w:id="19" w:name="AYOOBIYAN2021"/>
      <w:r w:rsidRPr="00D0247F">
        <w:rPr>
          <w:sz w:val="16"/>
          <w:szCs w:val="16"/>
        </w:rPr>
        <w:t xml:space="preserve">Ayoobiyan, H., &amp; Rashidi, N. (2021). Can reflective teaching promote resilience among Iranian EFL teachers? A mixed-method design. </w:t>
      </w:r>
      <w:r w:rsidRPr="00D0247F">
        <w:rPr>
          <w:i/>
          <w:iCs/>
          <w:sz w:val="16"/>
          <w:szCs w:val="16"/>
        </w:rPr>
        <w:t>Reflective Practice, 22</w:t>
      </w:r>
      <w:r w:rsidRPr="00D0247F">
        <w:rPr>
          <w:sz w:val="16"/>
          <w:szCs w:val="16"/>
        </w:rPr>
        <w:t xml:space="preserve">(3), 293–305. </w:t>
      </w:r>
    </w:p>
    <w:p w14:paraId="48485720" w14:textId="26CD9C90" w:rsidR="003D2F1B" w:rsidRPr="00D0247F" w:rsidRDefault="00810730" w:rsidP="00810730">
      <w:pPr>
        <w:spacing w:line="276" w:lineRule="auto"/>
        <w:ind w:left="426" w:hanging="426"/>
        <w:rPr>
          <w:rStyle w:val="Hyperlink"/>
          <w:sz w:val="16"/>
          <w:szCs w:val="16"/>
        </w:rPr>
      </w:pPr>
      <w:r w:rsidRPr="00D0247F">
        <w:rPr>
          <w:sz w:val="16"/>
          <w:szCs w:val="16"/>
        </w:rPr>
        <w:tab/>
        <w:t xml:space="preserve">DOI: </w:t>
      </w:r>
      <w:hyperlink r:id="rId20" w:history="1">
        <w:r w:rsidR="003D2F1B" w:rsidRPr="00D0247F">
          <w:rPr>
            <w:rStyle w:val="Hyperlink"/>
            <w:sz w:val="16"/>
            <w:szCs w:val="16"/>
          </w:rPr>
          <w:t>https://doi.org/10.1080/14623943.2021.1873758</w:t>
        </w:r>
      </w:hyperlink>
      <w:bookmarkEnd w:id="19"/>
    </w:p>
    <w:p w14:paraId="38FC03C0" w14:textId="77777777" w:rsidR="00810730" w:rsidRPr="00D0247F" w:rsidRDefault="00810730" w:rsidP="00810730">
      <w:pPr>
        <w:spacing w:line="276" w:lineRule="auto"/>
        <w:ind w:left="426" w:hanging="426"/>
        <w:rPr>
          <w:sz w:val="16"/>
          <w:szCs w:val="16"/>
        </w:rPr>
      </w:pPr>
    </w:p>
    <w:p w14:paraId="5921FED4" w14:textId="77777777" w:rsidR="00810730" w:rsidRPr="00D0247F" w:rsidRDefault="003D2F1B" w:rsidP="00810730">
      <w:pPr>
        <w:spacing w:line="276" w:lineRule="auto"/>
        <w:ind w:left="426" w:hanging="426"/>
        <w:rPr>
          <w:sz w:val="16"/>
          <w:szCs w:val="16"/>
        </w:rPr>
      </w:pPr>
      <w:bookmarkStart w:id="20" w:name="BING2022"/>
      <w:r w:rsidRPr="00D0247F">
        <w:rPr>
          <w:sz w:val="16"/>
          <w:szCs w:val="16"/>
        </w:rPr>
        <w:t xml:space="preserve">Bing, H., Sadjadi, B., Afzali, M., &amp; Fathi, J. (2022). Self-efficacy and emotion regulation as predictors of teacher burnout among English as a foreign language teacher: A structural equation modeling approach. </w:t>
      </w:r>
      <w:r w:rsidRPr="00D0247F">
        <w:rPr>
          <w:i/>
          <w:iCs/>
          <w:sz w:val="16"/>
          <w:szCs w:val="16"/>
        </w:rPr>
        <w:t>Frontiers in Psychology, 13,</w:t>
      </w:r>
      <w:r w:rsidRPr="00D0247F">
        <w:rPr>
          <w:sz w:val="16"/>
          <w:szCs w:val="16"/>
        </w:rPr>
        <w:t xml:space="preserve"> 900417. </w:t>
      </w:r>
    </w:p>
    <w:p w14:paraId="1A433F45" w14:textId="7749A4EA" w:rsidR="003D2F1B" w:rsidRPr="00D0247F" w:rsidRDefault="00810730" w:rsidP="00810730">
      <w:pPr>
        <w:spacing w:line="276" w:lineRule="auto"/>
        <w:ind w:left="426" w:hanging="426"/>
        <w:rPr>
          <w:rStyle w:val="Hyperlink"/>
          <w:sz w:val="16"/>
          <w:szCs w:val="16"/>
        </w:rPr>
      </w:pPr>
      <w:r w:rsidRPr="00D0247F">
        <w:rPr>
          <w:sz w:val="16"/>
          <w:szCs w:val="16"/>
        </w:rPr>
        <w:tab/>
        <w:t xml:space="preserve">DOI: </w:t>
      </w:r>
      <w:hyperlink r:id="rId21" w:history="1">
        <w:r w:rsidR="003D2F1B" w:rsidRPr="00D0247F">
          <w:rPr>
            <w:rStyle w:val="Hyperlink"/>
            <w:sz w:val="16"/>
            <w:szCs w:val="16"/>
          </w:rPr>
          <w:t>https://doi.org/10.3389/fpsyg.2022.900417</w:t>
        </w:r>
      </w:hyperlink>
      <w:bookmarkEnd w:id="20"/>
    </w:p>
    <w:p w14:paraId="5F488A29" w14:textId="77777777" w:rsidR="00810730" w:rsidRPr="00D0247F" w:rsidRDefault="00810730" w:rsidP="00810730">
      <w:pPr>
        <w:spacing w:line="276" w:lineRule="auto"/>
        <w:ind w:left="426" w:hanging="426"/>
        <w:rPr>
          <w:sz w:val="16"/>
          <w:szCs w:val="16"/>
        </w:rPr>
      </w:pPr>
    </w:p>
    <w:p w14:paraId="1FA1CB80" w14:textId="77777777" w:rsidR="00810730" w:rsidRPr="00D0247F" w:rsidRDefault="003D2F1B" w:rsidP="00810730">
      <w:pPr>
        <w:spacing w:line="276" w:lineRule="auto"/>
        <w:ind w:left="426" w:hanging="426"/>
        <w:rPr>
          <w:sz w:val="16"/>
          <w:szCs w:val="16"/>
        </w:rPr>
      </w:pPr>
      <w:bookmarkStart w:id="21" w:name="BREINES2012"/>
      <w:r w:rsidRPr="00D0247F">
        <w:rPr>
          <w:sz w:val="16"/>
          <w:szCs w:val="16"/>
        </w:rPr>
        <w:t xml:space="preserve">Breines, J. G., &amp; Chen, S. (2012). Self-compassion increases self-improvement motivation. </w:t>
      </w:r>
      <w:r w:rsidRPr="00D0247F">
        <w:rPr>
          <w:i/>
          <w:iCs/>
          <w:sz w:val="16"/>
          <w:szCs w:val="16"/>
        </w:rPr>
        <w:t>Personality and Social Psychology Bulletin, 38,</w:t>
      </w:r>
      <w:r w:rsidRPr="00D0247F">
        <w:rPr>
          <w:sz w:val="16"/>
          <w:szCs w:val="16"/>
        </w:rPr>
        <w:t xml:space="preserve"> 1133–1143. </w:t>
      </w:r>
    </w:p>
    <w:p w14:paraId="20DEE8F9" w14:textId="6B7C6696" w:rsidR="003D2F1B" w:rsidRPr="00D0247F" w:rsidRDefault="00810730" w:rsidP="00810730">
      <w:pPr>
        <w:spacing w:line="276" w:lineRule="auto"/>
        <w:ind w:left="426"/>
        <w:rPr>
          <w:rStyle w:val="Hyperlink"/>
          <w:sz w:val="16"/>
          <w:szCs w:val="16"/>
        </w:rPr>
      </w:pPr>
      <w:r w:rsidRPr="00D0247F">
        <w:rPr>
          <w:sz w:val="16"/>
          <w:szCs w:val="16"/>
        </w:rPr>
        <w:t xml:space="preserve">DOI: </w:t>
      </w:r>
      <w:hyperlink r:id="rId22" w:history="1">
        <w:r w:rsidR="003D2F1B" w:rsidRPr="00D0247F">
          <w:rPr>
            <w:rStyle w:val="Hyperlink"/>
            <w:sz w:val="16"/>
            <w:szCs w:val="16"/>
          </w:rPr>
          <w:t>https://doi.org/10.1177/0146167212445599</w:t>
        </w:r>
      </w:hyperlink>
      <w:bookmarkEnd w:id="21"/>
    </w:p>
    <w:p w14:paraId="1E7869AD" w14:textId="77777777" w:rsidR="00810730" w:rsidRPr="00D0247F" w:rsidRDefault="00810730" w:rsidP="00810730">
      <w:pPr>
        <w:spacing w:line="276" w:lineRule="auto"/>
        <w:ind w:left="426"/>
        <w:rPr>
          <w:i/>
          <w:iCs/>
          <w:sz w:val="16"/>
          <w:szCs w:val="16"/>
        </w:rPr>
      </w:pPr>
    </w:p>
    <w:p w14:paraId="294F8DCF" w14:textId="77777777" w:rsidR="00810730" w:rsidRPr="00D0247F" w:rsidRDefault="003D2F1B" w:rsidP="00810730">
      <w:pPr>
        <w:spacing w:line="276" w:lineRule="auto"/>
        <w:ind w:left="426" w:hanging="426"/>
        <w:rPr>
          <w:sz w:val="16"/>
          <w:szCs w:val="16"/>
        </w:rPr>
      </w:pPr>
      <w:bookmarkStart w:id="22" w:name="BURI2018"/>
      <w:r w:rsidRPr="00D0247F">
        <w:rPr>
          <w:sz w:val="16"/>
          <w:szCs w:val="16"/>
        </w:rPr>
        <w:t xml:space="preserve">Burić, I., &amp; Macuka, I. (2018). Self-efficacy, emotions and work engagement among teachers: A two wave cross-lagged analysis. </w:t>
      </w:r>
      <w:r w:rsidRPr="00D0247F">
        <w:rPr>
          <w:i/>
          <w:iCs/>
          <w:sz w:val="16"/>
          <w:szCs w:val="16"/>
        </w:rPr>
        <w:t>Journal of Happiness Studies, 19</w:t>
      </w:r>
      <w:r w:rsidRPr="00D0247F">
        <w:rPr>
          <w:sz w:val="16"/>
          <w:szCs w:val="16"/>
        </w:rPr>
        <w:t xml:space="preserve">(7), 1917–1933. </w:t>
      </w:r>
    </w:p>
    <w:p w14:paraId="229C670F" w14:textId="36101791" w:rsidR="003D2F1B" w:rsidRPr="00D0247F" w:rsidRDefault="00810730" w:rsidP="00810730">
      <w:pPr>
        <w:spacing w:line="276" w:lineRule="auto"/>
        <w:ind w:left="426" w:hanging="426"/>
        <w:rPr>
          <w:rStyle w:val="Hyperlink"/>
          <w:sz w:val="16"/>
          <w:szCs w:val="16"/>
        </w:rPr>
      </w:pPr>
      <w:r w:rsidRPr="00D0247F">
        <w:rPr>
          <w:sz w:val="16"/>
          <w:szCs w:val="16"/>
        </w:rPr>
        <w:tab/>
        <w:t xml:space="preserve">DOI: </w:t>
      </w:r>
      <w:hyperlink r:id="rId23" w:history="1">
        <w:r w:rsidR="003D2F1B" w:rsidRPr="00D0247F">
          <w:rPr>
            <w:rStyle w:val="Hyperlink"/>
            <w:sz w:val="16"/>
            <w:szCs w:val="16"/>
          </w:rPr>
          <w:t>https://doi.org/10.1007/s10902-017-9903-9</w:t>
        </w:r>
      </w:hyperlink>
      <w:bookmarkEnd w:id="22"/>
    </w:p>
    <w:p w14:paraId="2264D7C4" w14:textId="77777777" w:rsidR="00810730" w:rsidRPr="00D0247F" w:rsidRDefault="00810730" w:rsidP="00810730">
      <w:pPr>
        <w:spacing w:line="276" w:lineRule="auto"/>
        <w:ind w:left="426" w:hanging="426"/>
        <w:rPr>
          <w:sz w:val="16"/>
          <w:szCs w:val="16"/>
        </w:rPr>
      </w:pPr>
    </w:p>
    <w:p w14:paraId="22E87924" w14:textId="77777777" w:rsidR="00810730" w:rsidRPr="00D0247F" w:rsidRDefault="003D2F1B" w:rsidP="00810730">
      <w:pPr>
        <w:spacing w:line="276" w:lineRule="auto"/>
        <w:ind w:left="426" w:hanging="426"/>
        <w:rPr>
          <w:sz w:val="16"/>
          <w:szCs w:val="16"/>
        </w:rPr>
      </w:pPr>
      <w:bookmarkStart w:id="23" w:name="BURI2020"/>
      <w:r w:rsidRPr="00D0247F">
        <w:rPr>
          <w:sz w:val="16"/>
          <w:szCs w:val="16"/>
        </w:rPr>
        <w:t xml:space="preserve">Burić, I., Sliškovic, A., &amp; Soric, I. (2020). Teachers’ emotions and self-efficacy: A test of reciprocal relations. </w:t>
      </w:r>
      <w:r w:rsidRPr="00D0247F">
        <w:rPr>
          <w:i/>
          <w:iCs/>
          <w:sz w:val="16"/>
          <w:szCs w:val="16"/>
        </w:rPr>
        <w:t>Frontiers in Psychology, 11,</w:t>
      </w:r>
      <w:r w:rsidRPr="00D0247F">
        <w:rPr>
          <w:sz w:val="16"/>
          <w:szCs w:val="16"/>
        </w:rPr>
        <w:t xml:space="preserve"> 1650. </w:t>
      </w:r>
    </w:p>
    <w:p w14:paraId="652A72AE" w14:textId="73C31F57" w:rsidR="003D2F1B" w:rsidRPr="00D0247F" w:rsidRDefault="00810730" w:rsidP="00810730">
      <w:pPr>
        <w:spacing w:line="276" w:lineRule="auto"/>
        <w:ind w:left="426" w:hanging="426"/>
        <w:rPr>
          <w:rStyle w:val="Hyperlink"/>
          <w:sz w:val="16"/>
          <w:szCs w:val="16"/>
        </w:rPr>
      </w:pPr>
      <w:r w:rsidRPr="00D0247F">
        <w:rPr>
          <w:sz w:val="16"/>
          <w:szCs w:val="16"/>
        </w:rPr>
        <w:tab/>
        <w:t xml:space="preserve">DOI: </w:t>
      </w:r>
      <w:hyperlink r:id="rId24" w:history="1">
        <w:r w:rsidR="003D2F1B" w:rsidRPr="00D0247F">
          <w:rPr>
            <w:rStyle w:val="Hyperlink"/>
            <w:sz w:val="16"/>
            <w:szCs w:val="16"/>
          </w:rPr>
          <w:t>https://doi.org/10.3389/fpsyg.2020.01650</w:t>
        </w:r>
      </w:hyperlink>
      <w:bookmarkEnd w:id="23"/>
    </w:p>
    <w:p w14:paraId="1F96386E" w14:textId="77777777" w:rsidR="00810730" w:rsidRPr="00D0247F" w:rsidRDefault="00810730" w:rsidP="00810730">
      <w:pPr>
        <w:spacing w:line="276" w:lineRule="auto"/>
        <w:ind w:left="426" w:hanging="426"/>
        <w:rPr>
          <w:sz w:val="16"/>
          <w:szCs w:val="16"/>
        </w:rPr>
      </w:pPr>
    </w:p>
    <w:p w14:paraId="3F0FB52C" w14:textId="77777777" w:rsidR="00810730" w:rsidRPr="00D0247F" w:rsidRDefault="003D2F1B" w:rsidP="00810730">
      <w:pPr>
        <w:spacing w:line="276" w:lineRule="auto"/>
        <w:ind w:left="426" w:hanging="426"/>
        <w:rPr>
          <w:sz w:val="16"/>
          <w:szCs w:val="16"/>
        </w:rPr>
      </w:pPr>
      <w:bookmarkStart w:id="24" w:name="CHANG2021"/>
      <w:r w:rsidRPr="00D0247F">
        <w:rPr>
          <w:sz w:val="16"/>
          <w:szCs w:val="16"/>
        </w:rPr>
        <w:t xml:space="preserve">Chang, M. L., &amp; Taxer, J. (2021). Teacher emotion regulation strategies in response to classroom misbehavior. </w:t>
      </w:r>
      <w:r w:rsidRPr="00D0247F">
        <w:rPr>
          <w:i/>
          <w:iCs/>
          <w:sz w:val="16"/>
          <w:szCs w:val="16"/>
        </w:rPr>
        <w:t>Teachers and Teaching, 27</w:t>
      </w:r>
      <w:r w:rsidRPr="00D0247F">
        <w:rPr>
          <w:sz w:val="16"/>
          <w:szCs w:val="16"/>
        </w:rPr>
        <w:t xml:space="preserve">(5), 353–369. </w:t>
      </w:r>
    </w:p>
    <w:p w14:paraId="287E5AF3" w14:textId="0CBD0017" w:rsidR="003D2F1B" w:rsidRPr="00D0247F" w:rsidRDefault="00810730" w:rsidP="00810730">
      <w:pPr>
        <w:spacing w:line="276" w:lineRule="auto"/>
        <w:ind w:left="426" w:hanging="426"/>
        <w:rPr>
          <w:rStyle w:val="Hyperlink"/>
          <w:sz w:val="16"/>
          <w:szCs w:val="16"/>
        </w:rPr>
      </w:pPr>
      <w:r w:rsidRPr="00D0247F">
        <w:rPr>
          <w:sz w:val="16"/>
          <w:szCs w:val="16"/>
        </w:rPr>
        <w:tab/>
        <w:t xml:space="preserve">DOI: </w:t>
      </w:r>
      <w:hyperlink r:id="rId25" w:history="1">
        <w:r w:rsidR="003D2F1B" w:rsidRPr="00D0247F">
          <w:rPr>
            <w:rStyle w:val="Hyperlink"/>
            <w:sz w:val="16"/>
            <w:szCs w:val="16"/>
          </w:rPr>
          <w:t>https://doi.org/10.1080/13540602.2020.1740198</w:t>
        </w:r>
      </w:hyperlink>
      <w:bookmarkEnd w:id="24"/>
    </w:p>
    <w:p w14:paraId="49B91712" w14:textId="77777777" w:rsidR="00810730" w:rsidRPr="00D0247F" w:rsidRDefault="00810730" w:rsidP="00810730">
      <w:pPr>
        <w:spacing w:line="276" w:lineRule="auto"/>
        <w:ind w:left="426" w:hanging="426"/>
        <w:rPr>
          <w:sz w:val="16"/>
          <w:szCs w:val="16"/>
        </w:rPr>
      </w:pPr>
    </w:p>
    <w:p w14:paraId="1273D8AC" w14:textId="713BED0C" w:rsidR="003D2F1B" w:rsidRPr="00D0247F" w:rsidRDefault="003D2F1B" w:rsidP="00810730">
      <w:pPr>
        <w:spacing w:line="276" w:lineRule="auto"/>
        <w:ind w:left="426" w:hanging="426"/>
        <w:rPr>
          <w:sz w:val="16"/>
          <w:szCs w:val="16"/>
        </w:rPr>
      </w:pPr>
      <w:bookmarkStart w:id="25" w:name="CRESWELL2017"/>
      <w:r w:rsidRPr="00D0247F">
        <w:rPr>
          <w:sz w:val="16"/>
          <w:szCs w:val="16"/>
        </w:rPr>
        <w:t xml:space="preserve">Creswell, J. W., &amp; Creswell, J. D. (2017). </w:t>
      </w:r>
      <w:r w:rsidRPr="00D0247F">
        <w:rPr>
          <w:i/>
          <w:iCs/>
          <w:sz w:val="16"/>
          <w:szCs w:val="16"/>
        </w:rPr>
        <w:t xml:space="preserve">Research design: Qualitative, quantitative, and mixed methods approaches </w:t>
      </w:r>
      <w:r w:rsidRPr="00D0247F">
        <w:rPr>
          <w:sz w:val="16"/>
          <w:szCs w:val="16"/>
        </w:rPr>
        <w:t>(4th ed.). Sage.</w:t>
      </w:r>
      <w:bookmarkEnd w:id="25"/>
    </w:p>
    <w:p w14:paraId="2301EA82" w14:textId="77777777" w:rsidR="00810730" w:rsidRPr="00D0247F" w:rsidRDefault="00810730" w:rsidP="00810730">
      <w:pPr>
        <w:spacing w:line="276" w:lineRule="auto"/>
        <w:ind w:left="426" w:hanging="426"/>
        <w:rPr>
          <w:i/>
          <w:iCs/>
          <w:sz w:val="16"/>
          <w:szCs w:val="16"/>
        </w:rPr>
      </w:pPr>
    </w:p>
    <w:p w14:paraId="1115CC7A" w14:textId="77777777" w:rsidR="00810730" w:rsidRPr="00D0247F" w:rsidRDefault="003D2F1B" w:rsidP="00810730">
      <w:pPr>
        <w:spacing w:line="276" w:lineRule="auto"/>
        <w:ind w:left="426" w:hanging="426"/>
        <w:rPr>
          <w:sz w:val="16"/>
          <w:szCs w:val="16"/>
        </w:rPr>
      </w:pPr>
      <w:bookmarkStart w:id="26" w:name="DENG2022"/>
      <w:r w:rsidRPr="00D0247F">
        <w:rPr>
          <w:sz w:val="16"/>
          <w:szCs w:val="16"/>
        </w:rPr>
        <w:t xml:space="preserve">Deng, J., Heydarnejad, T., Farhangi, F., &amp; Farid Khafaga, A. (2022). Delving into the relationship between teacher emotion regulation, self-efficacy, engagement, and anger: A focus on English as a foreign language teacher. </w:t>
      </w:r>
      <w:r w:rsidRPr="00D0247F">
        <w:rPr>
          <w:i/>
          <w:iCs/>
          <w:sz w:val="16"/>
          <w:szCs w:val="16"/>
        </w:rPr>
        <w:t>Frontiers in Psychology, 13,</w:t>
      </w:r>
      <w:r w:rsidRPr="00D0247F">
        <w:rPr>
          <w:sz w:val="16"/>
          <w:szCs w:val="16"/>
        </w:rPr>
        <w:t xml:space="preserve"> 1019984. </w:t>
      </w:r>
    </w:p>
    <w:p w14:paraId="014C0166" w14:textId="563FB8CC" w:rsidR="003D2F1B" w:rsidRPr="00D0247F" w:rsidRDefault="00810730" w:rsidP="00810730">
      <w:pPr>
        <w:spacing w:line="276" w:lineRule="auto"/>
        <w:ind w:left="426" w:hanging="426"/>
        <w:rPr>
          <w:rStyle w:val="Hyperlink"/>
          <w:sz w:val="16"/>
          <w:szCs w:val="16"/>
        </w:rPr>
      </w:pPr>
      <w:r w:rsidRPr="00D0247F">
        <w:rPr>
          <w:sz w:val="16"/>
          <w:szCs w:val="16"/>
        </w:rPr>
        <w:tab/>
        <w:t xml:space="preserve">DOI: </w:t>
      </w:r>
      <w:hyperlink r:id="rId26" w:history="1">
        <w:r w:rsidR="003D2F1B" w:rsidRPr="00D0247F">
          <w:rPr>
            <w:rStyle w:val="Hyperlink"/>
            <w:sz w:val="16"/>
            <w:szCs w:val="16"/>
          </w:rPr>
          <w:t>https://doi.org/10.3389/fpsyg.2022.1019984</w:t>
        </w:r>
      </w:hyperlink>
      <w:bookmarkEnd w:id="26"/>
    </w:p>
    <w:p w14:paraId="65A13DCD" w14:textId="77777777" w:rsidR="00810730" w:rsidRPr="00D0247F" w:rsidRDefault="00810730" w:rsidP="00810730">
      <w:pPr>
        <w:spacing w:line="276" w:lineRule="auto"/>
        <w:ind w:left="426" w:hanging="426"/>
        <w:rPr>
          <w:sz w:val="16"/>
          <w:szCs w:val="16"/>
        </w:rPr>
      </w:pPr>
    </w:p>
    <w:p w14:paraId="6F5138DF" w14:textId="77777777" w:rsidR="00810730" w:rsidRPr="00D0247F" w:rsidRDefault="003D2F1B" w:rsidP="00810730">
      <w:pPr>
        <w:spacing w:line="276" w:lineRule="auto"/>
        <w:ind w:left="426" w:hanging="426"/>
        <w:rPr>
          <w:sz w:val="16"/>
          <w:szCs w:val="16"/>
        </w:rPr>
      </w:pPr>
      <w:bookmarkStart w:id="27" w:name="DEWAELE2022"/>
      <w:r w:rsidRPr="00D0247F">
        <w:rPr>
          <w:sz w:val="16"/>
          <w:szCs w:val="16"/>
        </w:rPr>
        <w:t xml:space="preserve">Dewaele, J. M., &amp; Li, C. (2022). Foreign language enjoyment and anxiety: Associations with general and domain-specific English achievement. </w:t>
      </w:r>
      <w:r w:rsidRPr="00D0247F">
        <w:rPr>
          <w:i/>
          <w:iCs/>
          <w:sz w:val="16"/>
          <w:szCs w:val="16"/>
        </w:rPr>
        <w:t>Chinese Journal of Applied Linguistics, 45</w:t>
      </w:r>
      <w:r w:rsidRPr="00D0247F">
        <w:rPr>
          <w:sz w:val="16"/>
          <w:szCs w:val="16"/>
        </w:rPr>
        <w:t xml:space="preserve">(1), 32–48. </w:t>
      </w:r>
    </w:p>
    <w:p w14:paraId="5BDE6166" w14:textId="164A02F1" w:rsidR="003D2F1B" w:rsidRPr="00D0247F" w:rsidRDefault="00810730" w:rsidP="00810730">
      <w:pPr>
        <w:spacing w:line="276" w:lineRule="auto"/>
        <w:ind w:left="426" w:hanging="426"/>
        <w:rPr>
          <w:rStyle w:val="Hyperlink"/>
          <w:sz w:val="16"/>
          <w:szCs w:val="16"/>
        </w:rPr>
      </w:pPr>
      <w:r w:rsidRPr="00D0247F">
        <w:rPr>
          <w:sz w:val="16"/>
          <w:szCs w:val="16"/>
        </w:rPr>
        <w:tab/>
        <w:t xml:space="preserve">DOI: </w:t>
      </w:r>
      <w:hyperlink r:id="rId27" w:history="1">
        <w:r w:rsidR="003D2F1B" w:rsidRPr="00D0247F">
          <w:rPr>
            <w:rStyle w:val="Hyperlink"/>
            <w:sz w:val="16"/>
            <w:szCs w:val="16"/>
          </w:rPr>
          <w:t>https://doi.org/10.1515/cjal-2022-0104</w:t>
        </w:r>
      </w:hyperlink>
      <w:bookmarkEnd w:id="27"/>
    </w:p>
    <w:p w14:paraId="305F8C14" w14:textId="77777777" w:rsidR="00810730" w:rsidRPr="00D0247F" w:rsidRDefault="00810730" w:rsidP="00810730">
      <w:pPr>
        <w:spacing w:line="276" w:lineRule="auto"/>
        <w:ind w:left="426" w:hanging="426"/>
        <w:rPr>
          <w:sz w:val="16"/>
          <w:szCs w:val="16"/>
        </w:rPr>
      </w:pPr>
    </w:p>
    <w:p w14:paraId="12780049" w14:textId="77777777" w:rsidR="00810730" w:rsidRPr="00D0247F" w:rsidRDefault="003D2F1B" w:rsidP="00810730">
      <w:pPr>
        <w:spacing w:line="276" w:lineRule="auto"/>
        <w:ind w:left="426" w:hanging="426"/>
        <w:rPr>
          <w:sz w:val="16"/>
          <w:szCs w:val="16"/>
        </w:rPr>
      </w:pPr>
      <w:bookmarkStart w:id="28" w:name="DEWAELE2018"/>
      <w:r w:rsidRPr="00D0247F">
        <w:rPr>
          <w:sz w:val="16"/>
          <w:szCs w:val="16"/>
        </w:rPr>
        <w:t xml:space="preserve">Dewaele, J. M., Witney, J., Saito, K., &amp; Dewaele, L. (2018). Foreign language enjoyment and anxiety: The effect of teacher and learner variables. </w:t>
      </w:r>
      <w:r w:rsidRPr="00D0247F">
        <w:rPr>
          <w:i/>
          <w:iCs/>
          <w:sz w:val="16"/>
          <w:szCs w:val="16"/>
        </w:rPr>
        <w:t>Language Teaching Research, 22</w:t>
      </w:r>
      <w:r w:rsidRPr="00D0247F">
        <w:rPr>
          <w:sz w:val="16"/>
          <w:szCs w:val="16"/>
        </w:rPr>
        <w:t xml:space="preserve">(6), 676–697. </w:t>
      </w:r>
    </w:p>
    <w:p w14:paraId="7D4B5A7F" w14:textId="2813003E" w:rsidR="003D2F1B" w:rsidRPr="00D0247F" w:rsidRDefault="00810730" w:rsidP="00810730">
      <w:pPr>
        <w:spacing w:line="276" w:lineRule="auto"/>
        <w:ind w:left="426" w:hanging="426"/>
        <w:rPr>
          <w:rStyle w:val="Hyperlink"/>
          <w:sz w:val="16"/>
          <w:szCs w:val="16"/>
        </w:rPr>
      </w:pPr>
      <w:r w:rsidRPr="00D0247F">
        <w:rPr>
          <w:sz w:val="16"/>
          <w:szCs w:val="16"/>
        </w:rPr>
        <w:tab/>
        <w:t xml:space="preserve">DOI: </w:t>
      </w:r>
      <w:hyperlink r:id="rId28" w:history="1">
        <w:r w:rsidR="003D2F1B" w:rsidRPr="00D0247F">
          <w:rPr>
            <w:rStyle w:val="Hyperlink"/>
            <w:sz w:val="16"/>
            <w:szCs w:val="16"/>
          </w:rPr>
          <w:t>https://doi.org/10.1177/1362168817692161</w:t>
        </w:r>
      </w:hyperlink>
      <w:bookmarkEnd w:id="28"/>
    </w:p>
    <w:p w14:paraId="7BFD0FD4" w14:textId="77777777" w:rsidR="00810730" w:rsidRPr="00D0247F" w:rsidRDefault="00810730" w:rsidP="00810730">
      <w:pPr>
        <w:spacing w:line="276" w:lineRule="auto"/>
        <w:ind w:left="426" w:hanging="426"/>
        <w:rPr>
          <w:sz w:val="16"/>
          <w:szCs w:val="16"/>
        </w:rPr>
      </w:pPr>
    </w:p>
    <w:p w14:paraId="6184E0E8" w14:textId="77777777" w:rsidR="00810730" w:rsidRPr="00D0247F" w:rsidRDefault="003D2F1B" w:rsidP="00810730">
      <w:pPr>
        <w:spacing w:line="276" w:lineRule="auto"/>
        <w:ind w:left="426" w:hanging="426"/>
        <w:rPr>
          <w:sz w:val="16"/>
          <w:szCs w:val="16"/>
        </w:rPr>
      </w:pPr>
      <w:bookmarkStart w:id="29" w:name="DIEDRICH2014"/>
      <w:r w:rsidRPr="00D0247F">
        <w:rPr>
          <w:sz w:val="16"/>
          <w:szCs w:val="16"/>
        </w:rPr>
        <w:t xml:space="preserve">Diedrich, A., Grant, M., Hofmann, S. G., Hiller, W., &amp; Berking, M. (2014). Self-compassion as an emotion regulation strategy in major depressive disorder. </w:t>
      </w:r>
      <w:r w:rsidRPr="00D0247F">
        <w:rPr>
          <w:i/>
          <w:iCs/>
          <w:sz w:val="16"/>
          <w:szCs w:val="16"/>
        </w:rPr>
        <w:t>Behavior Research and Therapy, 58,</w:t>
      </w:r>
      <w:r w:rsidRPr="00D0247F">
        <w:rPr>
          <w:sz w:val="16"/>
          <w:szCs w:val="16"/>
        </w:rPr>
        <w:t xml:space="preserve"> 43–51. </w:t>
      </w:r>
    </w:p>
    <w:p w14:paraId="4EDBBAA3" w14:textId="78D57965" w:rsidR="003D2F1B" w:rsidRPr="00D0247F" w:rsidRDefault="00810730" w:rsidP="00810730">
      <w:pPr>
        <w:spacing w:line="276" w:lineRule="auto"/>
        <w:ind w:left="426"/>
        <w:rPr>
          <w:rStyle w:val="Hyperlink"/>
          <w:sz w:val="16"/>
          <w:szCs w:val="16"/>
        </w:rPr>
      </w:pPr>
      <w:r w:rsidRPr="00D0247F">
        <w:rPr>
          <w:sz w:val="16"/>
          <w:szCs w:val="16"/>
        </w:rPr>
        <w:t xml:space="preserve">DOI: </w:t>
      </w:r>
      <w:hyperlink r:id="rId29" w:history="1">
        <w:r w:rsidR="003D2F1B" w:rsidRPr="00D0247F">
          <w:rPr>
            <w:rStyle w:val="Hyperlink"/>
            <w:sz w:val="16"/>
            <w:szCs w:val="16"/>
          </w:rPr>
          <w:t>https://doi.org/10.1016/j.brat.2014.05.006</w:t>
        </w:r>
      </w:hyperlink>
      <w:bookmarkEnd w:id="29"/>
    </w:p>
    <w:p w14:paraId="309F1BA4" w14:textId="77777777" w:rsidR="00810730" w:rsidRPr="00D0247F" w:rsidRDefault="00810730" w:rsidP="00810730">
      <w:pPr>
        <w:spacing w:line="276" w:lineRule="auto"/>
        <w:ind w:left="426"/>
        <w:rPr>
          <w:sz w:val="16"/>
          <w:szCs w:val="16"/>
        </w:rPr>
      </w:pPr>
    </w:p>
    <w:p w14:paraId="5D128903" w14:textId="77777777" w:rsidR="00810730" w:rsidRPr="00D0247F" w:rsidRDefault="003D2F1B" w:rsidP="00810730">
      <w:pPr>
        <w:spacing w:line="276" w:lineRule="auto"/>
        <w:ind w:left="426" w:hanging="426"/>
        <w:rPr>
          <w:sz w:val="16"/>
          <w:szCs w:val="16"/>
        </w:rPr>
      </w:pPr>
      <w:bookmarkStart w:id="30" w:name="FATHI2019"/>
      <w:r w:rsidRPr="00D0247F">
        <w:rPr>
          <w:sz w:val="16"/>
          <w:szCs w:val="16"/>
        </w:rPr>
        <w:t xml:space="preserve">Fathi, J., &amp; Derakhshan, A. (2019). Teacher self-efficacy and emotional regulation as predictors of teaching stress: An investigation of Iranian English language teachers. </w:t>
      </w:r>
      <w:r w:rsidRPr="00D0247F">
        <w:rPr>
          <w:i/>
          <w:iCs/>
          <w:sz w:val="16"/>
          <w:szCs w:val="16"/>
        </w:rPr>
        <w:t>Teaching English Language, 13</w:t>
      </w:r>
      <w:r w:rsidRPr="00D0247F">
        <w:rPr>
          <w:sz w:val="16"/>
          <w:szCs w:val="16"/>
        </w:rPr>
        <w:t xml:space="preserve">(2), 117–143. </w:t>
      </w:r>
    </w:p>
    <w:p w14:paraId="5E93ECD5" w14:textId="7E94890A" w:rsidR="003D2F1B" w:rsidRPr="00D0247F" w:rsidRDefault="00810730" w:rsidP="00810730">
      <w:pPr>
        <w:spacing w:line="276" w:lineRule="auto"/>
        <w:ind w:left="426" w:hanging="426"/>
        <w:rPr>
          <w:rStyle w:val="Hyperlink"/>
          <w:sz w:val="16"/>
          <w:szCs w:val="16"/>
        </w:rPr>
      </w:pPr>
      <w:r w:rsidRPr="00D0247F">
        <w:rPr>
          <w:sz w:val="16"/>
          <w:szCs w:val="16"/>
        </w:rPr>
        <w:tab/>
        <w:t xml:space="preserve">DOI: </w:t>
      </w:r>
      <w:hyperlink r:id="rId30" w:history="1">
        <w:r w:rsidR="003D2F1B" w:rsidRPr="00D0247F">
          <w:rPr>
            <w:rStyle w:val="Hyperlink"/>
            <w:sz w:val="16"/>
            <w:szCs w:val="16"/>
          </w:rPr>
          <w:t>https://doi.org/10.22132/TEL.2019.95883</w:t>
        </w:r>
      </w:hyperlink>
      <w:bookmarkEnd w:id="30"/>
    </w:p>
    <w:p w14:paraId="235A4F1A" w14:textId="77777777" w:rsidR="00810730" w:rsidRPr="00D0247F" w:rsidRDefault="00810730" w:rsidP="00810730">
      <w:pPr>
        <w:spacing w:line="276" w:lineRule="auto"/>
        <w:ind w:left="426" w:hanging="426"/>
        <w:rPr>
          <w:sz w:val="16"/>
          <w:szCs w:val="16"/>
        </w:rPr>
      </w:pPr>
    </w:p>
    <w:p w14:paraId="6BF19D9D" w14:textId="3C720AFF" w:rsidR="003D2F1B" w:rsidRPr="00D0247F" w:rsidRDefault="003D2F1B" w:rsidP="00810730">
      <w:pPr>
        <w:spacing w:line="276" w:lineRule="auto"/>
        <w:ind w:left="426" w:hanging="426"/>
        <w:rPr>
          <w:sz w:val="16"/>
          <w:szCs w:val="16"/>
        </w:rPr>
      </w:pPr>
      <w:bookmarkStart w:id="31" w:name="GARG2009"/>
      <w:r w:rsidRPr="00D0247F">
        <w:rPr>
          <w:sz w:val="16"/>
          <w:szCs w:val="16"/>
        </w:rPr>
        <w:lastRenderedPageBreak/>
        <w:t xml:space="preserve">Garg, P., &amp; Rastogi, R. (2009). Effect of psychological well-being on organizational commitment of employees. </w:t>
      </w:r>
      <w:r w:rsidRPr="00D0247F">
        <w:rPr>
          <w:i/>
          <w:iCs/>
          <w:sz w:val="16"/>
          <w:szCs w:val="16"/>
        </w:rPr>
        <w:t>The IUP Journal of Organizational Behavior, 8</w:t>
      </w:r>
      <w:r w:rsidRPr="00D0247F">
        <w:rPr>
          <w:sz w:val="16"/>
          <w:szCs w:val="16"/>
        </w:rPr>
        <w:t>(2), 42–51.</w:t>
      </w:r>
      <w:bookmarkEnd w:id="31"/>
    </w:p>
    <w:p w14:paraId="7E1CB060" w14:textId="77777777" w:rsidR="00810730" w:rsidRPr="00D0247F" w:rsidRDefault="00810730" w:rsidP="00810730">
      <w:pPr>
        <w:spacing w:line="276" w:lineRule="auto"/>
        <w:ind w:left="426" w:hanging="426"/>
        <w:rPr>
          <w:i/>
          <w:iCs/>
          <w:sz w:val="16"/>
          <w:szCs w:val="16"/>
        </w:rPr>
      </w:pPr>
    </w:p>
    <w:p w14:paraId="4D2214CF" w14:textId="77777777" w:rsidR="00810730" w:rsidRPr="00D0247F" w:rsidRDefault="003D2F1B" w:rsidP="00810730">
      <w:pPr>
        <w:spacing w:line="276" w:lineRule="auto"/>
        <w:ind w:left="426" w:hanging="426"/>
        <w:rPr>
          <w:sz w:val="16"/>
          <w:szCs w:val="16"/>
        </w:rPr>
      </w:pPr>
      <w:bookmarkStart w:id="32" w:name="GREENIER2021"/>
      <w:r w:rsidRPr="00D0247F">
        <w:rPr>
          <w:sz w:val="16"/>
          <w:szCs w:val="16"/>
        </w:rPr>
        <w:t xml:space="preserve">Greenier, V., Derakhshan, A., &amp; Fathi, J. (2021). Emotion regulation and psychological well-being in teacher work engagement: A case of British and Iranian English language teachers. </w:t>
      </w:r>
      <w:r w:rsidRPr="00D0247F">
        <w:rPr>
          <w:i/>
          <w:iCs/>
          <w:sz w:val="16"/>
          <w:szCs w:val="16"/>
        </w:rPr>
        <w:t>System, 97,</w:t>
      </w:r>
      <w:r w:rsidRPr="00D0247F">
        <w:rPr>
          <w:sz w:val="16"/>
          <w:szCs w:val="16"/>
        </w:rPr>
        <w:t xml:space="preserve"> 102446. </w:t>
      </w:r>
    </w:p>
    <w:p w14:paraId="2F388201" w14:textId="1E257DA4" w:rsidR="003D2F1B" w:rsidRPr="00D0247F" w:rsidRDefault="00810730" w:rsidP="00810730">
      <w:pPr>
        <w:spacing w:line="276" w:lineRule="auto"/>
        <w:ind w:left="426" w:hanging="426"/>
        <w:rPr>
          <w:rStyle w:val="Hyperlink"/>
          <w:sz w:val="16"/>
          <w:szCs w:val="16"/>
        </w:rPr>
      </w:pPr>
      <w:r w:rsidRPr="00D0247F">
        <w:rPr>
          <w:sz w:val="16"/>
          <w:szCs w:val="16"/>
        </w:rPr>
        <w:tab/>
        <w:t xml:space="preserve">DOI: </w:t>
      </w:r>
      <w:hyperlink r:id="rId31" w:history="1">
        <w:r w:rsidR="003D2F1B" w:rsidRPr="00D0247F">
          <w:rPr>
            <w:rStyle w:val="Hyperlink"/>
            <w:sz w:val="16"/>
            <w:szCs w:val="16"/>
          </w:rPr>
          <w:t>https://doi.org/10.1016/j.system.2020.102446</w:t>
        </w:r>
      </w:hyperlink>
      <w:bookmarkEnd w:id="32"/>
    </w:p>
    <w:p w14:paraId="1F51C32A" w14:textId="77777777" w:rsidR="00810730" w:rsidRPr="00D0247F" w:rsidRDefault="00810730" w:rsidP="00810730">
      <w:pPr>
        <w:spacing w:line="276" w:lineRule="auto"/>
        <w:ind w:left="426" w:hanging="426"/>
        <w:rPr>
          <w:sz w:val="16"/>
          <w:szCs w:val="16"/>
        </w:rPr>
      </w:pPr>
    </w:p>
    <w:p w14:paraId="0FAA4725" w14:textId="77777777" w:rsidR="00810730" w:rsidRPr="00D0247F" w:rsidRDefault="003D2F1B" w:rsidP="00810730">
      <w:pPr>
        <w:spacing w:line="276" w:lineRule="auto"/>
        <w:ind w:left="426" w:hanging="426"/>
        <w:rPr>
          <w:sz w:val="16"/>
          <w:szCs w:val="16"/>
        </w:rPr>
      </w:pPr>
      <w:bookmarkStart w:id="33" w:name="GROSS2003"/>
      <w:r w:rsidRPr="00D0247F">
        <w:rPr>
          <w:sz w:val="16"/>
          <w:szCs w:val="16"/>
        </w:rPr>
        <w:t xml:space="preserve">Gross, J. J., &amp; John, O. P. (2003). Individual differences in two emotion regulation processes: Implications for affect, relationships, and well-being. </w:t>
      </w:r>
      <w:r w:rsidRPr="00D0247F">
        <w:rPr>
          <w:i/>
          <w:iCs/>
          <w:sz w:val="16"/>
          <w:szCs w:val="16"/>
        </w:rPr>
        <w:t>Journal of Personality and Social psychology, 85</w:t>
      </w:r>
      <w:r w:rsidRPr="00D0247F">
        <w:rPr>
          <w:sz w:val="16"/>
          <w:szCs w:val="16"/>
        </w:rPr>
        <w:t xml:space="preserve">(2), 348–362. </w:t>
      </w:r>
      <w:r w:rsidR="00810730" w:rsidRPr="00D0247F">
        <w:rPr>
          <w:sz w:val="16"/>
          <w:szCs w:val="16"/>
        </w:rPr>
        <w:tab/>
      </w:r>
    </w:p>
    <w:p w14:paraId="25E01E7B" w14:textId="19D1D6B2" w:rsidR="003D2F1B" w:rsidRPr="00D0247F" w:rsidRDefault="00810730" w:rsidP="00810730">
      <w:pPr>
        <w:spacing w:line="276" w:lineRule="auto"/>
        <w:ind w:left="426"/>
        <w:rPr>
          <w:rStyle w:val="Hyperlink"/>
          <w:sz w:val="16"/>
          <w:szCs w:val="16"/>
        </w:rPr>
      </w:pPr>
      <w:r w:rsidRPr="00D0247F">
        <w:rPr>
          <w:sz w:val="16"/>
          <w:szCs w:val="16"/>
        </w:rPr>
        <w:t xml:space="preserve">DOI: </w:t>
      </w:r>
      <w:hyperlink r:id="rId32" w:history="1">
        <w:r w:rsidR="003D2F1B" w:rsidRPr="00D0247F">
          <w:rPr>
            <w:rStyle w:val="Hyperlink"/>
            <w:sz w:val="16"/>
            <w:szCs w:val="16"/>
          </w:rPr>
          <w:t>https://doi.org/10.1037/0022-3514.85.2.348</w:t>
        </w:r>
      </w:hyperlink>
      <w:bookmarkEnd w:id="33"/>
    </w:p>
    <w:p w14:paraId="22261BBF" w14:textId="77777777" w:rsidR="00810730" w:rsidRPr="00D0247F" w:rsidRDefault="00810730" w:rsidP="00810730">
      <w:pPr>
        <w:spacing w:line="276" w:lineRule="auto"/>
        <w:ind w:left="426"/>
        <w:rPr>
          <w:sz w:val="16"/>
          <w:szCs w:val="16"/>
        </w:rPr>
      </w:pPr>
    </w:p>
    <w:p w14:paraId="47489893" w14:textId="77777777" w:rsidR="00810730" w:rsidRPr="00D0247F" w:rsidRDefault="003D2F1B" w:rsidP="00810730">
      <w:pPr>
        <w:spacing w:line="276" w:lineRule="auto"/>
        <w:ind w:left="426" w:hanging="426"/>
        <w:rPr>
          <w:sz w:val="16"/>
          <w:szCs w:val="16"/>
        </w:rPr>
      </w:pPr>
      <w:bookmarkStart w:id="34" w:name="KLASSEN2013"/>
      <w:r w:rsidRPr="00D0247F">
        <w:rPr>
          <w:sz w:val="16"/>
          <w:szCs w:val="16"/>
        </w:rPr>
        <w:t xml:space="preserve">Klassen, R. M., Yerdelen, S., &amp; Durksen, T. L. (2013). Measuring teacher engagement: Development of the Engaged Teachers Scale (ETS). </w:t>
      </w:r>
      <w:r w:rsidRPr="00D0247F">
        <w:rPr>
          <w:i/>
          <w:iCs/>
          <w:sz w:val="16"/>
          <w:szCs w:val="16"/>
        </w:rPr>
        <w:t>Frontline Learning Research, 1,</w:t>
      </w:r>
      <w:r w:rsidRPr="00D0247F">
        <w:rPr>
          <w:sz w:val="16"/>
          <w:szCs w:val="16"/>
        </w:rPr>
        <w:t xml:space="preserve"> 33–52. </w:t>
      </w:r>
    </w:p>
    <w:p w14:paraId="21FE1E6A" w14:textId="4A579C5C" w:rsidR="003D2F1B" w:rsidRPr="00D0247F" w:rsidRDefault="00810730" w:rsidP="00810730">
      <w:pPr>
        <w:spacing w:line="276" w:lineRule="auto"/>
        <w:ind w:left="426" w:hanging="426"/>
        <w:rPr>
          <w:rStyle w:val="Hyperlink"/>
          <w:sz w:val="16"/>
          <w:szCs w:val="16"/>
        </w:rPr>
      </w:pPr>
      <w:r w:rsidRPr="00D0247F">
        <w:rPr>
          <w:sz w:val="16"/>
          <w:szCs w:val="16"/>
        </w:rPr>
        <w:tab/>
        <w:t xml:space="preserve">DOI: </w:t>
      </w:r>
      <w:hyperlink r:id="rId33" w:history="1">
        <w:r w:rsidR="003D2F1B" w:rsidRPr="00D0247F">
          <w:rPr>
            <w:rStyle w:val="Hyperlink"/>
            <w:sz w:val="16"/>
            <w:szCs w:val="16"/>
          </w:rPr>
          <w:t>https://doi.org/10.14786/flr.v1i2.44</w:t>
        </w:r>
      </w:hyperlink>
      <w:bookmarkEnd w:id="34"/>
    </w:p>
    <w:p w14:paraId="1E16612C" w14:textId="77777777" w:rsidR="00810730" w:rsidRPr="00D0247F" w:rsidRDefault="00810730" w:rsidP="00810730">
      <w:pPr>
        <w:spacing w:line="276" w:lineRule="auto"/>
        <w:ind w:left="426" w:hanging="426"/>
        <w:rPr>
          <w:sz w:val="16"/>
          <w:szCs w:val="16"/>
        </w:rPr>
      </w:pPr>
    </w:p>
    <w:p w14:paraId="480D2419" w14:textId="77777777" w:rsidR="00810730" w:rsidRPr="00D0247F" w:rsidRDefault="003D2F1B" w:rsidP="00810730">
      <w:pPr>
        <w:spacing w:line="276" w:lineRule="auto"/>
        <w:ind w:left="426" w:hanging="426"/>
        <w:rPr>
          <w:sz w:val="16"/>
          <w:szCs w:val="16"/>
        </w:rPr>
      </w:pPr>
      <w:r w:rsidRPr="00D0247F">
        <w:rPr>
          <w:sz w:val="16"/>
          <w:szCs w:val="16"/>
        </w:rPr>
        <w:t xml:space="preserve">Li, C., &amp; Li, W. (2022). Anxiety, enjoyment, and boredom in language learning amongst junior secondary students in rural China: How do they contribute to L2 achievement? </w:t>
      </w:r>
      <w:r w:rsidRPr="00D0247F">
        <w:rPr>
          <w:i/>
          <w:iCs/>
          <w:sz w:val="16"/>
          <w:szCs w:val="16"/>
        </w:rPr>
        <w:t>Studies in Second Language Acquisition, 45</w:t>
      </w:r>
      <w:r w:rsidRPr="00D0247F">
        <w:rPr>
          <w:sz w:val="16"/>
          <w:szCs w:val="16"/>
        </w:rPr>
        <w:t xml:space="preserve">(1), 93–108. </w:t>
      </w:r>
    </w:p>
    <w:p w14:paraId="2CE19828" w14:textId="5BB8733A" w:rsidR="003D2F1B" w:rsidRPr="00D0247F" w:rsidRDefault="00810730" w:rsidP="00810730">
      <w:pPr>
        <w:spacing w:line="276" w:lineRule="auto"/>
        <w:ind w:left="426" w:hanging="426"/>
        <w:rPr>
          <w:sz w:val="16"/>
          <w:szCs w:val="16"/>
        </w:rPr>
      </w:pPr>
      <w:r w:rsidRPr="00D0247F">
        <w:rPr>
          <w:sz w:val="16"/>
          <w:szCs w:val="16"/>
        </w:rPr>
        <w:tab/>
        <w:t xml:space="preserve">DOI: </w:t>
      </w:r>
      <w:hyperlink r:id="rId34" w:history="1">
        <w:r w:rsidR="003D2F1B" w:rsidRPr="00D0247F">
          <w:rPr>
            <w:rStyle w:val="Hyperlink"/>
            <w:sz w:val="16"/>
            <w:szCs w:val="16"/>
          </w:rPr>
          <w:t>https://doi.org/10.1017/S0272263122000031</w:t>
        </w:r>
      </w:hyperlink>
    </w:p>
    <w:p w14:paraId="7C402E75" w14:textId="77777777" w:rsidR="00810730" w:rsidRPr="00D0247F" w:rsidRDefault="003D2F1B" w:rsidP="00810730">
      <w:pPr>
        <w:spacing w:line="276" w:lineRule="auto"/>
        <w:ind w:left="426" w:hanging="426"/>
        <w:rPr>
          <w:sz w:val="16"/>
          <w:szCs w:val="16"/>
        </w:rPr>
      </w:pPr>
      <w:bookmarkStart w:id="35" w:name="LI2022"/>
      <w:r w:rsidRPr="00D0247F">
        <w:rPr>
          <w:sz w:val="16"/>
          <w:szCs w:val="16"/>
        </w:rPr>
        <w:t xml:space="preserve">Li, M., Heydarnejad, T., Azizi, Z., &amp; Rezaei Gashti, Z. (2022). Modeling the role of emotion regulation and critical thinking in immunity in higher education. </w:t>
      </w:r>
      <w:r w:rsidRPr="00D0247F">
        <w:rPr>
          <w:i/>
          <w:iCs/>
          <w:sz w:val="16"/>
          <w:szCs w:val="16"/>
        </w:rPr>
        <w:t>Frontiers in Psychology, 13,</w:t>
      </w:r>
      <w:r w:rsidRPr="00D0247F">
        <w:rPr>
          <w:sz w:val="16"/>
          <w:szCs w:val="16"/>
        </w:rPr>
        <w:t xml:space="preserve"> 1005071. </w:t>
      </w:r>
    </w:p>
    <w:p w14:paraId="65971397" w14:textId="7A144B7B" w:rsidR="003D2F1B" w:rsidRPr="00D0247F" w:rsidRDefault="00810730" w:rsidP="00810730">
      <w:pPr>
        <w:spacing w:line="276" w:lineRule="auto"/>
        <w:ind w:left="426" w:hanging="426"/>
        <w:rPr>
          <w:rStyle w:val="Hyperlink"/>
          <w:sz w:val="16"/>
          <w:szCs w:val="16"/>
        </w:rPr>
      </w:pPr>
      <w:r w:rsidRPr="00D0247F">
        <w:rPr>
          <w:sz w:val="16"/>
          <w:szCs w:val="16"/>
        </w:rPr>
        <w:tab/>
        <w:t xml:space="preserve">DOI: </w:t>
      </w:r>
      <w:hyperlink r:id="rId35" w:history="1">
        <w:r w:rsidR="003D2F1B" w:rsidRPr="00D0247F">
          <w:rPr>
            <w:rStyle w:val="Hyperlink"/>
            <w:sz w:val="16"/>
            <w:szCs w:val="16"/>
          </w:rPr>
          <w:t>https://doi.org/10.3389/fpsyg.2022.1005071</w:t>
        </w:r>
      </w:hyperlink>
      <w:bookmarkEnd w:id="35"/>
    </w:p>
    <w:p w14:paraId="77A0B4A0" w14:textId="77777777" w:rsidR="00810730" w:rsidRPr="00D0247F" w:rsidRDefault="00810730" w:rsidP="00810730">
      <w:pPr>
        <w:spacing w:line="276" w:lineRule="auto"/>
        <w:ind w:left="426" w:hanging="426"/>
        <w:rPr>
          <w:sz w:val="16"/>
          <w:szCs w:val="16"/>
        </w:rPr>
      </w:pPr>
    </w:p>
    <w:p w14:paraId="01E3E3BE" w14:textId="77777777" w:rsidR="00810730" w:rsidRPr="00D0247F" w:rsidRDefault="003D2F1B" w:rsidP="00810730">
      <w:pPr>
        <w:spacing w:line="276" w:lineRule="auto"/>
        <w:ind w:left="426" w:hanging="426"/>
        <w:rPr>
          <w:sz w:val="16"/>
          <w:szCs w:val="16"/>
        </w:rPr>
      </w:pPr>
      <w:bookmarkStart w:id="36" w:name="MORADKHANI2017"/>
      <w:r w:rsidRPr="00D0247F">
        <w:rPr>
          <w:sz w:val="16"/>
          <w:szCs w:val="16"/>
        </w:rPr>
        <w:t xml:space="preserve">Moradkhani, S., Raygan, A., &amp; Moein, M. S. (2017). Iranian EFL teachers’ reflective practices and self-efficacy: Exploring possible relationships. </w:t>
      </w:r>
      <w:r w:rsidRPr="00D0247F">
        <w:rPr>
          <w:i/>
          <w:iCs/>
          <w:sz w:val="16"/>
          <w:szCs w:val="16"/>
        </w:rPr>
        <w:t>System, 65,</w:t>
      </w:r>
      <w:r w:rsidRPr="00D0247F">
        <w:rPr>
          <w:sz w:val="16"/>
          <w:szCs w:val="16"/>
        </w:rPr>
        <w:t xml:space="preserve"> 1–14. </w:t>
      </w:r>
    </w:p>
    <w:p w14:paraId="6FD7789F" w14:textId="095788CC" w:rsidR="003D2F1B" w:rsidRPr="00D0247F" w:rsidRDefault="00810730" w:rsidP="00810730">
      <w:pPr>
        <w:spacing w:line="276" w:lineRule="auto"/>
        <w:ind w:left="426" w:hanging="426"/>
        <w:rPr>
          <w:rStyle w:val="Hyperlink"/>
          <w:sz w:val="16"/>
          <w:szCs w:val="16"/>
        </w:rPr>
      </w:pPr>
      <w:r w:rsidRPr="00D0247F">
        <w:rPr>
          <w:sz w:val="16"/>
          <w:szCs w:val="16"/>
        </w:rPr>
        <w:tab/>
        <w:t xml:space="preserve">DOI: </w:t>
      </w:r>
      <w:hyperlink r:id="rId36" w:history="1">
        <w:r w:rsidR="003D2F1B" w:rsidRPr="00D0247F">
          <w:rPr>
            <w:rStyle w:val="Hyperlink"/>
            <w:sz w:val="16"/>
            <w:szCs w:val="16"/>
          </w:rPr>
          <w:t>https://doi.org/10.1016/j.system.2016.12.011</w:t>
        </w:r>
      </w:hyperlink>
      <w:bookmarkEnd w:id="36"/>
    </w:p>
    <w:p w14:paraId="7E27B141" w14:textId="77777777" w:rsidR="00810730" w:rsidRPr="00D0247F" w:rsidRDefault="00810730" w:rsidP="00810730">
      <w:pPr>
        <w:spacing w:line="276" w:lineRule="auto"/>
        <w:ind w:left="426" w:hanging="426"/>
        <w:rPr>
          <w:sz w:val="16"/>
          <w:szCs w:val="16"/>
        </w:rPr>
      </w:pPr>
    </w:p>
    <w:p w14:paraId="383B53C3" w14:textId="77777777" w:rsidR="003D2F1B" w:rsidRPr="00D0247F" w:rsidRDefault="003D2F1B" w:rsidP="00810730">
      <w:pPr>
        <w:spacing w:line="276" w:lineRule="auto"/>
        <w:ind w:left="426" w:hanging="426"/>
        <w:rPr>
          <w:sz w:val="16"/>
          <w:szCs w:val="16"/>
        </w:rPr>
      </w:pPr>
      <w:bookmarkStart w:id="37" w:name="PALLANT2020"/>
      <w:r w:rsidRPr="00D0247F">
        <w:rPr>
          <w:sz w:val="16"/>
          <w:szCs w:val="16"/>
        </w:rPr>
        <w:t xml:space="preserve">Pallant, J. (2020). </w:t>
      </w:r>
      <w:r w:rsidRPr="00D0247F">
        <w:rPr>
          <w:i/>
          <w:iCs/>
          <w:sz w:val="16"/>
          <w:szCs w:val="16"/>
        </w:rPr>
        <w:t>SPSS survival manual: A step by step guide to data analysis using IBM SPSS.</w:t>
      </w:r>
      <w:r w:rsidRPr="00D0247F">
        <w:rPr>
          <w:sz w:val="16"/>
          <w:szCs w:val="16"/>
        </w:rPr>
        <w:t xml:space="preserve"> Routledge.</w:t>
      </w:r>
      <w:bookmarkEnd w:id="37"/>
    </w:p>
    <w:p w14:paraId="4E0CFB27" w14:textId="77777777" w:rsidR="00810730" w:rsidRPr="00D0247F" w:rsidRDefault="003D2F1B" w:rsidP="00810730">
      <w:pPr>
        <w:spacing w:line="276" w:lineRule="auto"/>
        <w:ind w:left="426" w:hanging="426"/>
        <w:rPr>
          <w:sz w:val="16"/>
          <w:szCs w:val="16"/>
        </w:rPr>
      </w:pPr>
      <w:bookmarkStart w:id="38" w:name="PROIETTI2021"/>
      <w:r w:rsidRPr="00D0247F">
        <w:rPr>
          <w:sz w:val="16"/>
          <w:szCs w:val="16"/>
        </w:rPr>
        <w:t xml:space="preserve">Proietti Ergün, A. L. P., &amp; Dewaele, J. M. (2021). Do well-being and resilience predict the foreign language teaching enjoyment of teachers of Italian? </w:t>
      </w:r>
      <w:r w:rsidRPr="00D0247F">
        <w:rPr>
          <w:i/>
          <w:iCs/>
          <w:sz w:val="16"/>
          <w:szCs w:val="16"/>
        </w:rPr>
        <w:t>System, 99,</w:t>
      </w:r>
      <w:r w:rsidRPr="00D0247F">
        <w:rPr>
          <w:sz w:val="16"/>
          <w:szCs w:val="16"/>
        </w:rPr>
        <w:t xml:space="preserve"> 102506. </w:t>
      </w:r>
    </w:p>
    <w:p w14:paraId="57093E2C" w14:textId="5925D26F" w:rsidR="003D2F1B" w:rsidRPr="00D0247F" w:rsidRDefault="00810730" w:rsidP="00810730">
      <w:pPr>
        <w:spacing w:line="276" w:lineRule="auto"/>
        <w:ind w:left="426" w:hanging="426"/>
        <w:rPr>
          <w:rStyle w:val="Hyperlink"/>
          <w:sz w:val="16"/>
          <w:szCs w:val="16"/>
        </w:rPr>
      </w:pPr>
      <w:r w:rsidRPr="00D0247F">
        <w:rPr>
          <w:sz w:val="16"/>
          <w:szCs w:val="16"/>
        </w:rPr>
        <w:tab/>
        <w:t xml:space="preserve">DOI: </w:t>
      </w:r>
      <w:hyperlink r:id="rId37" w:history="1">
        <w:r w:rsidR="003D2F1B" w:rsidRPr="00D0247F">
          <w:rPr>
            <w:rStyle w:val="Hyperlink"/>
            <w:sz w:val="16"/>
            <w:szCs w:val="16"/>
          </w:rPr>
          <w:t>https://doi.org/10.1016/j.system.2021.102506</w:t>
        </w:r>
      </w:hyperlink>
      <w:bookmarkEnd w:id="38"/>
    </w:p>
    <w:p w14:paraId="1B06C8DD" w14:textId="77777777" w:rsidR="00810730" w:rsidRPr="00D0247F" w:rsidRDefault="00810730" w:rsidP="00810730">
      <w:pPr>
        <w:spacing w:line="276" w:lineRule="auto"/>
        <w:ind w:left="426" w:hanging="426"/>
        <w:rPr>
          <w:sz w:val="16"/>
          <w:szCs w:val="16"/>
        </w:rPr>
      </w:pPr>
    </w:p>
    <w:p w14:paraId="3EBFDDA4" w14:textId="77777777" w:rsidR="00810730" w:rsidRPr="00D0247F" w:rsidRDefault="003D2F1B" w:rsidP="00810730">
      <w:pPr>
        <w:spacing w:line="276" w:lineRule="auto"/>
        <w:ind w:left="426" w:hanging="426"/>
        <w:rPr>
          <w:sz w:val="16"/>
          <w:szCs w:val="16"/>
        </w:rPr>
      </w:pPr>
      <w:bookmarkStart w:id="39" w:name="PROIETTI2022"/>
      <w:r w:rsidRPr="00D0247F">
        <w:rPr>
          <w:sz w:val="16"/>
          <w:szCs w:val="16"/>
        </w:rPr>
        <w:t xml:space="preserve">Proietti Ergün, A. L. P., &amp; Ersoz Demirdag, H. (2022). The relation between foreign language enjoyment, subjective well-being, and perceived stress in multilingual students. </w:t>
      </w:r>
      <w:r w:rsidRPr="00D0247F">
        <w:rPr>
          <w:i/>
          <w:iCs/>
          <w:sz w:val="16"/>
          <w:szCs w:val="16"/>
        </w:rPr>
        <w:t>Journal of Multilingual and Multicultural</w:t>
      </w:r>
      <w:r w:rsidRPr="00D0247F">
        <w:rPr>
          <w:sz w:val="16"/>
          <w:szCs w:val="16"/>
        </w:rPr>
        <w:t xml:space="preserve"> </w:t>
      </w:r>
      <w:r w:rsidRPr="00D0247F">
        <w:rPr>
          <w:i/>
          <w:iCs/>
          <w:sz w:val="16"/>
          <w:szCs w:val="16"/>
        </w:rPr>
        <w:t>Development,</w:t>
      </w:r>
      <w:r w:rsidRPr="00D0247F">
        <w:rPr>
          <w:sz w:val="16"/>
          <w:szCs w:val="16"/>
        </w:rPr>
        <w:t xml:space="preserve"> 1–13. </w:t>
      </w:r>
    </w:p>
    <w:p w14:paraId="18A31220" w14:textId="33117480" w:rsidR="003D2F1B" w:rsidRPr="00D0247F" w:rsidRDefault="00810730" w:rsidP="00810730">
      <w:pPr>
        <w:spacing w:line="276" w:lineRule="auto"/>
        <w:ind w:left="426" w:hanging="426"/>
        <w:rPr>
          <w:rStyle w:val="Hyperlink"/>
          <w:sz w:val="16"/>
          <w:szCs w:val="16"/>
        </w:rPr>
      </w:pPr>
      <w:r w:rsidRPr="00D0247F">
        <w:rPr>
          <w:sz w:val="16"/>
          <w:szCs w:val="16"/>
        </w:rPr>
        <w:tab/>
        <w:t xml:space="preserve">DOI: </w:t>
      </w:r>
      <w:hyperlink r:id="rId38" w:history="1">
        <w:r w:rsidR="003D2F1B" w:rsidRPr="00D0247F">
          <w:rPr>
            <w:rStyle w:val="Hyperlink"/>
            <w:sz w:val="16"/>
            <w:szCs w:val="16"/>
          </w:rPr>
          <w:t>https://doi.org/10.1080/01434632.2022.2057504</w:t>
        </w:r>
      </w:hyperlink>
      <w:bookmarkEnd w:id="39"/>
    </w:p>
    <w:p w14:paraId="3FAF2C44" w14:textId="77777777" w:rsidR="00810730" w:rsidRPr="00D0247F" w:rsidRDefault="00810730" w:rsidP="00810730">
      <w:pPr>
        <w:spacing w:line="276" w:lineRule="auto"/>
        <w:ind w:left="426" w:hanging="426"/>
        <w:rPr>
          <w:sz w:val="16"/>
          <w:szCs w:val="16"/>
        </w:rPr>
      </w:pPr>
    </w:p>
    <w:p w14:paraId="5C9B4480" w14:textId="77777777" w:rsidR="00810730" w:rsidRPr="00D0247F" w:rsidRDefault="003D2F1B" w:rsidP="00810730">
      <w:pPr>
        <w:spacing w:line="276" w:lineRule="auto"/>
        <w:ind w:left="426" w:hanging="426"/>
        <w:rPr>
          <w:sz w:val="16"/>
          <w:szCs w:val="16"/>
        </w:rPr>
      </w:pPr>
      <w:bookmarkStart w:id="40" w:name="ROTH2007"/>
      <w:r w:rsidRPr="00D0247F">
        <w:rPr>
          <w:sz w:val="16"/>
          <w:szCs w:val="16"/>
        </w:rPr>
        <w:t xml:space="preserve">Roth, G., Assor, A., Kanat-Maymon, Y., &amp; Kaplan, H. (2007). Autonomous motivation for teaching: How self-determined teaching may lead to self-determined learning. </w:t>
      </w:r>
      <w:r w:rsidRPr="00D0247F">
        <w:rPr>
          <w:i/>
          <w:iCs/>
          <w:sz w:val="16"/>
          <w:szCs w:val="16"/>
        </w:rPr>
        <w:t>Journal of Educational Psychology, 99,</w:t>
      </w:r>
      <w:r w:rsidRPr="00D0247F">
        <w:rPr>
          <w:sz w:val="16"/>
          <w:szCs w:val="16"/>
        </w:rPr>
        <w:t xml:space="preserve"> 761–774. </w:t>
      </w:r>
    </w:p>
    <w:p w14:paraId="42FB1DEE" w14:textId="33707263" w:rsidR="003D2F1B" w:rsidRPr="00D0247F" w:rsidRDefault="00810730" w:rsidP="00810730">
      <w:pPr>
        <w:spacing w:line="276" w:lineRule="auto"/>
        <w:ind w:left="426" w:hanging="426"/>
        <w:rPr>
          <w:rStyle w:val="Hyperlink"/>
          <w:sz w:val="16"/>
          <w:szCs w:val="16"/>
        </w:rPr>
      </w:pPr>
      <w:r w:rsidRPr="00D0247F">
        <w:rPr>
          <w:sz w:val="16"/>
          <w:szCs w:val="16"/>
        </w:rPr>
        <w:tab/>
        <w:t xml:space="preserve">DOI: </w:t>
      </w:r>
      <w:hyperlink r:id="rId39" w:history="1">
        <w:r w:rsidR="003D2F1B" w:rsidRPr="00D0247F">
          <w:rPr>
            <w:rStyle w:val="Hyperlink"/>
            <w:sz w:val="16"/>
            <w:szCs w:val="16"/>
          </w:rPr>
          <w:t>https://doi.org/10.1037/0022-0663.99.4.761</w:t>
        </w:r>
      </w:hyperlink>
      <w:bookmarkEnd w:id="40"/>
    </w:p>
    <w:p w14:paraId="7BE11228" w14:textId="77777777" w:rsidR="00810730" w:rsidRPr="00D0247F" w:rsidRDefault="00810730" w:rsidP="00810730">
      <w:pPr>
        <w:spacing w:line="276" w:lineRule="auto"/>
        <w:ind w:left="426" w:hanging="426"/>
        <w:rPr>
          <w:sz w:val="16"/>
          <w:szCs w:val="16"/>
        </w:rPr>
      </w:pPr>
    </w:p>
    <w:p w14:paraId="15251999" w14:textId="77777777" w:rsidR="00810730" w:rsidRPr="00D0247F" w:rsidRDefault="003D2F1B" w:rsidP="00810730">
      <w:pPr>
        <w:spacing w:line="276" w:lineRule="auto"/>
        <w:ind w:left="426" w:hanging="426"/>
        <w:rPr>
          <w:sz w:val="16"/>
          <w:szCs w:val="16"/>
        </w:rPr>
      </w:pPr>
      <w:bookmarkStart w:id="41" w:name="SHU2022"/>
      <w:r w:rsidRPr="00D0247F">
        <w:rPr>
          <w:sz w:val="16"/>
          <w:szCs w:val="16"/>
        </w:rPr>
        <w:t xml:space="preserve">Shu, K. (2022). Teachers’ commitment and self-efficacy as predictors of work engagement and well-being. </w:t>
      </w:r>
      <w:r w:rsidRPr="00D0247F">
        <w:rPr>
          <w:i/>
          <w:iCs/>
          <w:sz w:val="16"/>
          <w:szCs w:val="16"/>
        </w:rPr>
        <w:t>Frontiers in Psychology, 13,</w:t>
      </w:r>
      <w:r w:rsidRPr="00D0247F">
        <w:rPr>
          <w:sz w:val="16"/>
          <w:szCs w:val="16"/>
        </w:rPr>
        <w:t xml:space="preserve"> 850204. </w:t>
      </w:r>
    </w:p>
    <w:p w14:paraId="36B8182A" w14:textId="7C50CA4C" w:rsidR="003D2F1B" w:rsidRPr="00D0247F" w:rsidRDefault="00810730" w:rsidP="00810730">
      <w:pPr>
        <w:spacing w:line="276" w:lineRule="auto"/>
        <w:ind w:left="426" w:hanging="426"/>
        <w:rPr>
          <w:rStyle w:val="Hyperlink"/>
          <w:sz w:val="16"/>
          <w:szCs w:val="16"/>
        </w:rPr>
      </w:pPr>
      <w:r w:rsidRPr="00D0247F">
        <w:rPr>
          <w:sz w:val="16"/>
          <w:szCs w:val="16"/>
        </w:rPr>
        <w:tab/>
        <w:t xml:space="preserve">DOI: </w:t>
      </w:r>
      <w:hyperlink r:id="rId40" w:history="1">
        <w:r w:rsidR="003D2F1B" w:rsidRPr="00D0247F">
          <w:rPr>
            <w:rStyle w:val="Hyperlink"/>
            <w:sz w:val="16"/>
            <w:szCs w:val="16"/>
          </w:rPr>
          <w:t>https://doi.org/10.3389/fpsyg.2022.850204</w:t>
        </w:r>
      </w:hyperlink>
      <w:bookmarkEnd w:id="41"/>
    </w:p>
    <w:p w14:paraId="426DB9AC" w14:textId="77777777" w:rsidR="00810730" w:rsidRPr="00D0247F" w:rsidRDefault="00810730" w:rsidP="00810730">
      <w:pPr>
        <w:spacing w:line="276" w:lineRule="auto"/>
        <w:ind w:left="426" w:hanging="426"/>
        <w:rPr>
          <w:i/>
          <w:iCs/>
          <w:sz w:val="16"/>
          <w:szCs w:val="16"/>
        </w:rPr>
      </w:pPr>
    </w:p>
    <w:p w14:paraId="4D3976D4" w14:textId="77777777" w:rsidR="00810730" w:rsidRPr="00D0247F" w:rsidRDefault="003D2F1B" w:rsidP="00810730">
      <w:pPr>
        <w:spacing w:line="276" w:lineRule="auto"/>
        <w:ind w:left="426" w:hanging="426"/>
        <w:rPr>
          <w:sz w:val="16"/>
          <w:szCs w:val="16"/>
        </w:rPr>
      </w:pPr>
      <w:bookmarkStart w:id="42" w:name="SKAALVIK2020"/>
      <w:r w:rsidRPr="00D0247F">
        <w:rPr>
          <w:sz w:val="16"/>
          <w:szCs w:val="16"/>
        </w:rPr>
        <w:t xml:space="preserve">Skaalvik, E. M., &amp; Skaalvik, S. (2020). Teacher burnout: Relations between dimensions of burnout, perceived school context, job satisfaction and motivation for teaching. A longitudinal study. </w:t>
      </w:r>
      <w:r w:rsidRPr="00D0247F">
        <w:rPr>
          <w:i/>
          <w:iCs/>
          <w:sz w:val="16"/>
          <w:szCs w:val="16"/>
        </w:rPr>
        <w:t>Teachers and Teaching, 26,</w:t>
      </w:r>
      <w:r w:rsidRPr="00D0247F">
        <w:rPr>
          <w:sz w:val="16"/>
          <w:szCs w:val="16"/>
        </w:rPr>
        <w:t xml:space="preserve"> 602–616. </w:t>
      </w:r>
    </w:p>
    <w:p w14:paraId="4F83E1E4" w14:textId="6935D256" w:rsidR="003D2F1B" w:rsidRPr="00D0247F" w:rsidRDefault="00810730" w:rsidP="00810730">
      <w:pPr>
        <w:spacing w:line="276" w:lineRule="auto"/>
        <w:ind w:left="426" w:hanging="426"/>
        <w:rPr>
          <w:rStyle w:val="Hyperlink"/>
          <w:sz w:val="16"/>
          <w:szCs w:val="16"/>
        </w:rPr>
      </w:pPr>
      <w:r w:rsidRPr="00D0247F">
        <w:rPr>
          <w:sz w:val="16"/>
          <w:szCs w:val="16"/>
        </w:rPr>
        <w:tab/>
        <w:t xml:space="preserve">DOI: </w:t>
      </w:r>
      <w:hyperlink r:id="rId41" w:history="1">
        <w:r w:rsidR="003D2F1B" w:rsidRPr="00D0247F">
          <w:rPr>
            <w:rStyle w:val="Hyperlink"/>
            <w:sz w:val="16"/>
            <w:szCs w:val="16"/>
          </w:rPr>
          <w:t>https://doi.org/10.1080/13540602.2021.1913404</w:t>
        </w:r>
      </w:hyperlink>
      <w:bookmarkEnd w:id="42"/>
    </w:p>
    <w:p w14:paraId="50D3147E" w14:textId="77777777" w:rsidR="00810730" w:rsidRPr="00D0247F" w:rsidRDefault="00810730" w:rsidP="00810730">
      <w:pPr>
        <w:spacing w:line="276" w:lineRule="auto"/>
        <w:ind w:left="426" w:hanging="426"/>
        <w:rPr>
          <w:sz w:val="16"/>
          <w:szCs w:val="16"/>
        </w:rPr>
      </w:pPr>
    </w:p>
    <w:p w14:paraId="251CC888" w14:textId="77777777" w:rsidR="00810730" w:rsidRPr="00D0247F" w:rsidRDefault="003D2F1B" w:rsidP="00810730">
      <w:pPr>
        <w:spacing w:line="276" w:lineRule="auto"/>
        <w:ind w:left="426" w:hanging="426"/>
        <w:rPr>
          <w:sz w:val="16"/>
          <w:szCs w:val="16"/>
        </w:rPr>
      </w:pPr>
      <w:bookmarkStart w:id="43" w:name="SONG2018"/>
      <w:r w:rsidRPr="00D0247F">
        <w:rPr>
          <w:sz w:val="16"/>
          <w:szCs w:val="16"/>
        </w:rPr>
        <w:t xml:space="preserve">Song, J. H., Chai, D. S., Kim, J., &amp; Bae, S. H. (2018). Job performance in the learning organization: The mediating impacts of self-efficacy and work engagement. </w:t>
      </w:r>
      <w:r w:rsidRPr="00D0247F">
        <w:rPr>
          <w:i/>
          <w:iCs/>
          <w:sz w:val="16"/>
          <w:szCs w:val="16"/>
        </w:rPr>
        <w:t>Performance Improvement Quarterly, 30</w:t>
      </w:r>
      <w:r w:rsidRPr="00D0247F">
        <w:rPr>
          <w:sz w:val="16"/>
          <w:szCs w:val="16"/>
        </w:rPr>
        <w:t xml:space="preserve">(4), 249–271. </w:t>
      </w:r>
    </w:p>
    <w:p w14:paraId="117DD17B" w14:textId="339E2460" w:rsidR="003D2F1B" w:rsidRPr="00D0247F" w:rsidRDefault="00810730" w:rsidP="00810730">
      <w:pPr>
        <w:spacing w:line="276" w:lineRule="auto"/>
        <w:ind w:left="426" w:hanging="426"/>
        <w:rPr>
          <w:rStyle w:val="Hyperlink"/>
          <w:sz w:val="16"/>
          <w:szCs w:val="16"/>
        </w:rPr>
      </w:pPr>
      <w:r w:rsidRPr="00D0247F">
        <w:rPr>
          <w:sz w:val="16"/>
          <w:szCs w:val="16"/>
        </w:rPr>
        <w:tab/>
        <w:t xml:space="preserve">DOI: </w:t>
      </w:r>
      <w:hyperlink r:id="rId42" w:history="1">
        <w:r w:rsidR="003D2F1B" w:rsidRPr="00D0247F">
          <w:rPr>
            <w:rStyle w:val="Hyperlink"/>
            <w:sz w:val="16"/>
            <w:szCs w:val="16"/>
          </w:rPr>
          <w:t>https://doi.org/10.1002/piq.21251</w:t>
        </w:r>
      </w:hyperlink>
      <w:bookmarkEnd w:id="43"/>
    </w:p>
    <w:p w14:paraId="54E63AD6" w14:textId="77777777" w:rsidR="00810730" w:rsidRPr="00D0247F" w:rsidRDefault="00810730" w:rsidP="00810730">
      <w:pPr>
        <w:spacing w:line="276" w:lineRule="auto"/>
        <w:ind w:left="426" w:hanging="426"/>
        <w:rPr>
          <w:sz w:val="16"/>
          <w:szCs w:val="16"/>
        </w:rPr>
      </w:pPr>
    </w:p>
    <w:p w14:paraId="22DA1382" w14:textId="79D2F2A7" w:rsidR="003D2F1B" w:rsidRPr="00D0247F" w:rsidRDefault="003D2F1B" w:rsidP="00810730">
      <w:pPr>
        <w:spacing w:line="276" w:lineRule="auto"/>
        <w:ind w:left="426" w:hanging="426"/>
        <w:rPr>
          <w:sz w:val="16"/>
          <w:szCs w:val="16"/>
        </w:rPr>
      </w:pPr>
      <w:bookmarkStart w:id="44" w:name="SOODMAND2021"/>
      <w:r w:rsidRPr="00D0247F">
        <w:rPr>
          <w:sz w:val="16"/>
          <w:szCs w:val="16"/>
        </w:rPr>
        <w:t xml:space="preserve">Soodmand Afshar, H., &amp; Moradifar, M. (2021). The structural interplay between critical cultural awareness, institutional identity, self-efficacy, reflective teaching and job performance of EFL teachers. </w:t>
      </w:r>
      <w:r w:rsidRPr="00D0247F">
        <w:rPr>
          <w:i/>
          <w:iCs/>
          <w:sz w:val="16"/>
          <w:szCs w:val="16"/>
        </w:rPr>
        <w:t>International Journal of Society, Culture &amp; Language, 9,</w:t>
      </w:r>
      <w:r w:rsidRPr="00D0247F">
        <w:rPr>
          <w:sz w:val="16"/>
          <w:szCs w:val="16"/>
        </w:rPr>
        <w:t xml:space="preserve"> 14–29.</w:t>
      </w:r>
      <w:bookmarkEnd w:id="44"/>
    </w:p>
    <w:p w14:paraId="2CB3E0C3" w14:textId="77777777" w:rsidR="00810730" w:rsidRPr="00D0247F" w:rsidRDefault="00810730" w:rsidP="00810730">
      <w:pPr>
        <w:spacing w:line="276" w:lineRule="auto"/>
        <w:ind w:left="426" w:hanging="426"/>
        <w:rPr>
          <w:sz w:val="16"/>
          <w:szCs w:val="16"/>
        </w:rPr>
      </w:pPr>
    </w:p>
    <w:p w14:paraId="41CCB912" w14:textId="77777777" w:rsidR="00810730" w:rsidRPr="00D0247F" w:rsidRDefault="003D2F1B" w:rsidP="00810730">
      <w:pPr>
        <w:spacing w:line="276" w:lineRule="auto"/>
        <w:ind w:left="426" w:hanging="426"/>
        <w:rPr>
          <w:sz w:val="16"/>
          <w:szCs w:val="16"/>
        </w:rPr>
      </w:pPr>
      <w:bookmarkStart w:id="45" w:name="STAPLETON2020"/>
      <w:r w:rsidRPr="00D0247F">
        <w:rPr>
          <w:sz w:val="16"/>
          <w:szCs w:val="16"/>
        </w:rPr>
        <w:t xml:space="preserve">Stapleton, P., Garby, S., &amp; Sabot, D. (2020). Psychological distress and coping styles in teachers: A preliminary study. </w:t>
      </w:r>
      <w:r w:rsidRPr="00D0247F">
        <w:rPr>
          <w:i/>
          <w:iCs/>
          <w:sz w:val="16"/>
          <w:szCs w:val="16"/>
        </w:rPr>
        <w:t>Australian Journal of Education, 64</w:t>
      </w:r>
      <w:r w:rsidRPr="00D0247F">
        <w:rPr>
          <w:sz w:val="16"/>
          <w:szCs w:val="16"/>
        </w:rPr>
        <w:t xml:space="preserve">(2), 127–146. </w:t>
      </w:r>
    </w:p>
    <w:p w14:paraId="232B2211" w14:textId="35692217" w:rsidR="003D2F1B" w:rsidRPr="00D0247F" w:rsidRDefault="00810730" w:rsidP="00810730">
      <w:pPr>
        <w:spacing w:line="276" w:lineRule="auto"/>
        <w:ind w:left="426" w:hanging="426"/>
        <w:rPr>
          <w:rStyle w:val="Hyperlink"/>
          <w:sz w:val="16"/>
          <w:szCs w:val="16"/>
        </w:rPr>
      </w:pPr>
      <w:r w:rsidRPr="00D0247F">
        <w:rPr>
          <w:sz w:val="16"/>
          <w:szCs w:val="16"/>
        </w:rPr>
        <w:tab/>
        <w:t xml:space="preserve">DOI: </w:t>
      </w:r>
      <w:hyperlink r:id="rId43" w:history="1">
        <w:r w:rsidR="003D2F1B" w:rsidRPr="00D0247F">
          <w:rPr>
            <w:rStyle w:val="Hyperlink"/>
            <w:sz w:val="16"/>
            <w:szCs w:val="16"/>
          </w:rPr>
          <w:t>https://doi.org/10.1177/0004944120908960</w:t>
        </w:r>
      </w:hyperlink>
      <w:bookmarkEnd w:id="45"/>
    </w:p>
    <w:p w14:paraId="1D4DAB38" w14:textId="77777777" w:rsidR="00810730" w:rsidRPr="00D0247F" w:rsidRDefault="00810730" w:rsidP="00810730">
      <w:pPr>
        <w:spacing w:line="276" w:lineRule="auto"/>
        <w:ind w:left="426" w:hanging="426"/>
        <w:rPr>
          <w:sz w:val="16"/>
          <w:szCs w:val="16"/>
        </w:rPr>
      </w:pPr>
    </w:p>
    <w:p w14:paraId="7B8C744D" w14:textId="77777777" w:rsidR="00810730" w:rsidRPr="00D0247F" w:rsidRDefault="003D2F1B" w:rsidP="00810730">
      <w:pPr>
        <w:spacing w:line="276" w:lineRule="auto"/>
        <w:ind w:left="426" w:hanging="426"/>
        <w:rPr>
          <w:sz w:val="16"/>
          <w:szCs w:val="16"/>
        </w:rPr>
      </w:pPr>
      <w:bookmarkStart w:id="46" w:name="STAVRAKI2020"/>
      <w:r w:rsidRPr="00D0247F">
        <w:rPr>
          <w:sz w:val="16"/>
          <w:szCs w:val="16"/>
        </w:rPr>
        <w:t xml:space="preserve">Stavraki, C., &amp; Karagianni, E. (2020). Exploring Greek EFL teachers’ resilience. </w:t>
      </w:r>
      <w:r w:rsidRPr="00D0247F">
        <w:rPr>
          <w:i/>
          <w:iCs/>
          <w:sz w:val="16"/>
          <w:szCs w:val="16"/>
        </w:rPr>
        <w:t>Journal for the Psychology of Language Learning, 2,</w:t>
      </w:r>
      <w:r w:rsidRPr="00D0247F">
        <w:rPr>
          <w:sz w:val="16"/>
          <w:szCs w:val="16"/>
        </w:rPr>
        <w:t xml:space="preserve"> 142–179. </w:t>
      </w:r>
    </w:p>
    <w:p w14:paraId="48C6B6B9" w14:textId="6CA6BDDD" w:rsidR="003D2F1B" w:rsidRPr="00D0247F" w:rsidRDefault="00810730" w:rsidP="00810730">
      <w:pPr>
        <w:spacing w:line="276" w:lineRule="auto"/>
        <w:ind w:left="426" w:hanging="426"/>
        <w:rPr>
          <w:rStyle w:val="Hyperlink"/>
          <w:sz w:val="16"/>
          <w:szCs w:val="16"/>
        </w:rPr>
      </w:pPr>
      <w:r w:rsidRPr="00D0247F">
        <w:rPr>
          <w:sz w:val="16"/>
          <w:szCs w:val="16"/>
        </w:rPr>
        <w:tab/>
        <w:t xml:space="preserve">DOI: </w:t>
      </w:r>
      <w:hyperlink r:id="rId44" w:history="1">
        <w:r w:rsidR="003D2F1B" w:rsidRPr="00D0247F">
          <w:rPr>
            <w:rStyle w:val="Hyperlink"/>
            <w:sz w:val="16"/>
            <w:szCs w:val="16"/>
          </w:rPr>
          <w:t>https://doi.org/10.52598/jpll/2/1/7</w:t>
        </w:r>
      </w:hyperlink>
      <w:bookmarkEnd w:id="46"/>
    </w:p>
    <w:p w14:paraId="53CEAB04" w14:textId="77777777" w:rsidR="00810730" w:rsidRPr="00D0247F" w:rsidRDefault="00810730" w:rsidP="00810730">
      <w:pPr>
        <w:spacing w:line="276" w:lineRule="auto"/>
        <w:ind w:left="426" w:hanging="426"/>
        <w:rPr>
          <w:i/>
          <w:iCs/>
          <w:sz w:val="16"/>
          <w:szCs w:val="16"/>
        </w:rPr>
      </w:pPr>
    </w:p>
    <w:p w14:paraId="4D144BE8" w14:textId="77777777" w:rsidR="00810730" w:rsidRPr="00D0247F" w:rsidRDefault="003D2F1B" w:rsidP="00810730">
      <w:pPr>
        <w:spacing w:line="276" w:lineRule="auto"/>
        <w:ind w:left="426" w:hanging="426"/>
        <w:rPr>
          <w:sz w:val="16"/>
          <w:szCs w:val="16"/>
        </w:rPr>
      </w:pPr>
      <w:bookmarkStart w:id="47" w:name="TAO2019"/>
      <w:r w:rsidRPr="00D0247F">
        <w:rPr>
          <w:sz w:val="16"/>
          <w:szCs w:val="16"/>
        </w:rPr>
        <w:t xml:space="preserve">Tao, J., Zhao, K., &amp; Chen, X. (2019). The motivation and professional self of teachers teaching languages other than English in a Chinese university. </w:t>
      </w:r>
      <w:r w:rsidRPr="00D0247F">
        <w:rPr>
          <w:i/>
          <w:iCs/>
          <w:sz w:val="16"/>
          <w:szCs w:val="16"/>
        </w:rPr>
        <w:t>Journal of Multilingual and Multicultural Development, 40,</w:t>
      </w:r>
      <w:r w:rsidRPr="00D0247F">
        <w:rPr>
          <w:sz w:val="16"/>
          <w:szCs w:val="16"/>
        </w:rPr>
        <w:t xml:space="preserve"> 633–646. </w:t>
      </w:r>
    </w:p>
    <w:p w14:paraId="0A5CBB2A" w14:textId="1235790D" w:rsidR="003D2F1B" w:rsidRPr="00D0247F" w:rsidRDefault="00810730" w:rsidP="00810730">
      <w:pPr>
        <w:spacing w:line="276" w:lineRule="auto"/>
        <w:ind w:left="426" w:hanging="426"/>
        <w:rPr>
          <w:rStyle w:val="Hyperlink"/>
          <w:sz w:val="16"/>
          <w:szCs w:val="16"/>
        </w:rPr>
      </w:pPr>
      <w:r w:rsidRPr="00D0247F">
        <w:rPr>
          <w:sz w:val="16"/>
          <w:szCs w:val="16"/>
        </w:rPr>
        <w:tab/>
        <w:t xml:space="preserve">DOI: </w:t>
      </w:r>
      <w:hyperlink r:id="rId45" w:history="1">
        <w:r w:rsidR="003D2F1B" w:rsidRPr="00D0247F">
          <w:rPr>
            <w:rStyle w:val="Hyperlink"/>
            <w:sz w:val="16"/>
            <w:szCs w:val="16"/>
          </w:rPr>
          <w:t>https://doi.org/10.1080/01434632.2019.1571075</w:t>
        </w:r>
      </w:hyperlink>
      <w:bookmarkEnd w:id="47"/>
    </w:p>
    <w:p w14:paraId="2871A730" w14:textId="77777777" w:rsidR="00810730" w:rsidRPr="00D0247F" w:rsidRDefault="00810730" w:rsidP="00810730">
      <w:pPr>
        <w:spacing w:line="276" w:lineRule="auto"/>
        <w:ind w:left="426" w:hanging="426"/>
        <w:rPr>
          <w:sz w:val="16"/>
          <w:szCs w:val="16"/>
        </w:rPr>
      </w:pPr>
    </w:p>
    <w:p w14:paraId="6F3BA3D3" w14:textId="77777777" w:rsidR="00810730" w:rsidRPr="00D0247F" w:rsidRDefault="003D2F1B" w:rsidP="00810730">
      <w:pPr>
        <w:spacing w:line="276" w:lineRule="auto"/>
        <w:ind w:left="426" w:hanging="426"/>
        <w:rPr>
          <w:sz w:val="16"/>
          <w:szCs w:val="16"/>
        </w:rPr>
      </w:pPr>
      <w:bookmarkStart w:id="48" w:name="XIAO2022"/>
      <w:r w:rsidRPr="00D0247F">
        <w:rPr>
          <w:sz w:val="16"/>
          <w:szCs w:val="16"/>
        </w:rPr>
        <w:t xml:space="preserve">Xiao, Y., Fathi, J., &amp; Mohammaddokht, F. (2022). Exploring a structural model of teaching enjoyment, teacher self-efficacy, and work engagement. </w:t>
      </w:r>
      <w:r w:rsidRPr="00D0247F">
        <w:rPr>
          <w:i/>
          <w:iCs/>
          <w:sz w:val="16"/>
          <w:szCs w:val="16"/>
        </w:rPr>
        <w:t>Frontiers in Psychology, 13,</w:t>
      </w:r>
      <w:r w:rsidRPr="00D0247F">
        <w:rPr>
          <w:sz w:val="16"/>
          <w:szCs w:val="16"/>
        </w:rPr>
        <w:t xml:space="preserve"> 3384. </w:t>
      </w:r>
    </w:p>
    <w:p w14:paraId="2284F993" w14:textId="49A591B2" w:rsidR="003D2F1B" w:rsidRPr="00D0247F" w:rsidRDefault="00810730" w:rsidP="00810730">
      <w:pPr>
        <w:spacing w:line="276" w:lineRule="auto"/>
        <w:ind w:left="426" w:hanging="426"/>
        <w:rPr>
          <w:rStyle w:val="Hyperlink"/>
          <w:sz w:val="16"/>
          <w:szCs w:val="16"/>
        </w:rPr>
      </w:pPr>
      <w:r w:rsidRPr="00D0247F">
        <w:rPr>
          <w:sz w:val="16"/>
          <w:szCs w:val="16"/>
        </w:rPr>
        <w:tab/>
        <w:t xml:space="preserve">DOI: </w:t>
      </w:r>
      <w:hyperlink r:id="rId46" w:history="1">
        <w:r w:rsidR="003D2F1B" w:rsidRPr="00D0247F">
          <w:rPr>
            <w:rStyle w:val="Hyperlink"/>
            <w:sz w:val="16"/>
            <w:szCs w:val="16"/>
          </w:rPr>
          <w:t>https://doi.org/10.3389/fpsyg.2022.918488</w:t>
        </w:r>
      </w:hyperlink>
      <w:bookmarkEnd w:id="48"/>
    </w:p>
    <w:p w14:paraId="6FD34316" w14:textId="77777777" w:rsidR="00810730" w:rsidRPr="00D0247F" w:rsidRDefault="00810730" w:rsidP="00810730">
      <w:pPr>
        <w:spacing w:line="276" w:lineRule="auto"/>
        <w:ind w:left="426" w:hanging="426"/>
        <w:rPr>
          <w:sz w:val="16"/>
          <w:szCs w:val="16"/>
        </w:rPr>
      </w:pPr>
    </w:p>
    <w:p w14:paraId="143C8419" w14:textId="77777777" w:rsidR="00810730" w:rsidRPr="00D0247F" w:rsidRDefault="003D2F1B" w:rsidP="00810730">
      <w:pPr>
        <w:spacing w:line="276" w:lineRule="auto"/>
        <w:ind w:left="426" w:hanging="426"/>
        <w:rPr>
          <w:sz w:val="16"/>
          <w:szCs w:val="16"/>
        </w:rPr>
      </w:pPr>
      <w:bookmarkStart w:id="49" w:name="XIAOJING2022"/>
      <w:r w:rsidRPr="00D0247F">
        <w:rPr>
          <w:sz w:val="16"/>
          <w:szCs w:val="16"/>
        </w:rPr>
        <w:t xml:space="preserve">Xiaojing, X., Badakhshan, E., &amp; Fathi, J. (2022). Exploring teacher reflection in the English as a foreign language context: Testing factor structure and measurement invariance. </w:t>
      </w:r>
      <w:r w:rsidRPr="00D0247F">
        <w:rPr>
          <w:i/>
          <w:iCs/>
          <w:sz w:val="16"/>
          <w:szCs w:val="16"/>
        </w:rPr>
        <w:t>Frontiers in Psychology, 12,</w:t>
      </w:r>
      <w:r w:rsidRPr="00D0247F">
        <w:rPr>
          <w:sz w:val="16"/>
          <w:szCs w:val="16"/>
        </w:rPr>
        <w:t xml:space="preserve"> 6708. </w:t>
      </w:r>
    </w:p>
    <w:p w14:paraId="62674289" w14:textId="2F64E80B" w:rsidR="003D2F1B" w:rsidRPr="00D0247F" w:rsidRDefault="00810730" w:rsidP="00810730">
      <w:pPr>
        <w:spacing w:line="276" w:lineRule="auto"/>
        <w:ind w:left="426" w:hanging="426"/>
        <w:rPr>
          <w:rStyle w:val="Hyperlink"/>
          <w:sz w:val="16"/>
          <w:szCs w:val="16"/>
        </w:rPr>
      </w:pPr>
      <w:r w:rsidRPr="00D0247F">
        <w:rPr>
          <w:sz w:val="16"/>
          <w:szCs w:val="16"/>
        </w:rPr>
        <w:tab/>
        <w:t xml:space="preserve">DOI: </w:t>
      </w:r>
      <w:hyperlink r:id="rId47" w:history="1">
        <w:r w:rsidR="003D2F1B" w:rsidRPr="00D0247F">
          <w:rPr>
            <w:rStyle w:val="Hyperlink"/>
            <w:sz w:val="16"/>
            <w:szCs w:val="16"/>
          </w:rPr>
          <w:t>https://doi.org/10.3389/fpsyg.2021.828901</w:t>
        </w:r>
      </w:hyperlink>
      <w:bookmarkEnd w:id="49"/>
    </w:p>
    <w:p w14:paraId="4D26A96A" w14:textId="77777777" w:rsidR="00810730" w:rsidRPr="00D0247F" w:rsidRDefault="00810730" w:rsidP="00810730">
      <w:pPr>
        <w:spacing w:line="276" w:lineRule="auto"/>
        <w:ind w:left="426" w:hanging="426"/>
        <w:rPr>
          <w:sz w:val="16"/>
          <w:szCs w:val="16"/>
        </w:rPr>
      </w:pPr>
    </w:p>
    <w:p w14:paraId="2CAD3E7F" w14:textId="77777777" w:rsidR="00810730" w:rsidRPr="00D0247F" w:rsidRDefault="003D2F1B" w:rsidP="00810730">
      <w:pPr>
        <w:spacing w:line="276" w:lineRule="auto"/>
        <w:ind w:left="426" w:hanging="426"/>
        <w:rPr>
          <w:sz w:val="16"/>
          <w:szCs w:val="16"/>
        </w:rPr>
      </w:pPr>
      <w:bookmarkStart w:id="50" w:name="XIYUN2022"/>
      <w:r w:rsidRPr="00D0247F">
        <w:rPr>
          <w:sz w:val="16"/>
          <w:szCs w:val="16"/>
        </w:rPr>
        <w:t xml:space="preserve">Xiyun, S., Fathi, J., Shirbagi, N., &amp; Mohammaddokht, F. (2022). A structural model of teacher self-efficacy, emotion regulation, and psychological well-being among English teachers. </w:t>
      </w:r>
      <w:r w:rsidRPr="00D0247F">
        <w:rPr>
          <w:i/>
          <w:iCs/>
          <w:sz w:val="16"/>
          <w:szCs w:val="16"/>
        </w:rPr>
        <w:t>Frontiers in Psychology, 13,</w:t>
      </w:r>
      <w:r w:rsidRPr="00D0247F">
        <w:rPr>
          <w:sz w:val="16"/>
          <w:szCs w:val="16"/>
        </w:rPr>
        <w:t xml:space="preserve"> 904151. </w:t>
      </w:r>
    </w:p>
    <w:p w14:paraId="2E705C36" w14:textId="55DC8F31" w:rsidR="003D2F1B" w:rsidRPr="00D0247F" w:rsidRDefault="00810730" w:rsidP="00810730">
      <w:pPr>
        <w:spacing w:line="276" w:lineRule="auto"/>
        <w:ind w:left="426" w:hanging="426"/>
        <w:rPr>
          <w:rStyle w:val="Hyperlink"/>
          <w:sz w:val="16"/>
          <w:szCs w:val="16"/>
        </w:rPr>
      </w:pPr>
      <w:r w:rsidRPr="00D0247F">
        <w:rPr>
          <w:sz w:val="16"/>
          <w:szCs w:val="16"/>
        </w:rPr>
        <w:tab/>
        <w:t xml:space="preserve">DOI: </w:t>
      </w:r>
      <w:hyperlink r:id="rId48" w:history="1">
        <w:r w:rsidR="003D2F1B" w:rsidRPr="00D0247F">
          <w:rPr>
            <w:rStyle w:val="Hyperlink"/>
            <w:sz w:val="16"/>
            <w:szCs w:val="16"/>
          </w:rPr>
          <w:t>https://doi.org/10.3389/fpsyg.2022.904151</w:t>
        </w:r>
      </w:hyperlink>
      <w:bookmarkEnd w:id="50"/>
    </w:p>
    <w:p w14:paraId="096E1F06" w14:textId="77777777" w:rsidR="00810730" w:rsidRPr="00D0247F" w:rsidRDefault="00810730" w:rsidP="00810730">
      <w:pPr>
        <w:spacing w:line="276" w:lineRule="auto"/>
        <w:ind w:left="426" w:hanging="426"/>
        <w:rPr>
          <w:sz w:val="16"/>
          <w:szCs w:val="16"/>
        </w:rPr>
      </w:pPr>
    </w:p>
    <w:p w14:paraId="27E18EBF" w14:textId="77777777" w:rsidR="00810730" w:rsidRPr="00D0247F" w:rsidRDefault="003D2F1B" w:rsidP="00810730">
      <w:pPr>
        <w:spacing w:line="276" w:lineRule="auto"/>
        <w:ind w:left="426" w:hanging="426"/>
        <w:rPr>
          <w:sz w:val="16"/>
          <w:szCs w:val="16"/>
        </w:rPr>
      </w:pPr>
      <w:bookmarkStart w:id="51" w:name="YANG2022"/>
      <w:r w:rsidRPr="00D0247F">
        <w:rPr>
          <w:sz w:val="16"/>
          <w:szCs w:val="16"/>
        </w:rPr>
        <w:t xml:space="preserve">Yang, C., Chan, M. K., Nickerson, A. B., Jenkins, L., Xie, J. S., &amp; Fredrick, S. S. (2022). Teacher victimization and teachers’ subjective well-being: Does school climate matter? </w:t>
      </w:r>
      <w:r w:rsidRPr="00D0247F">
        <w:rPr>
          <w:i/>
          <w:iCs/>
          <w:sz w:val="16"/>
          <w:szCs w:val="16"/>
        </w:rPr>
        <w:t>Aggressive Behavior, 48</w:t>
      </w:r>
      <w:r w:rsidRPr="00D0247F">
        <w:rPr>
          <w:sz w:val="16"/>
          <w:szCs w:val="16"/>
        </w:rPr>
        <w:t xml:space="preserve">(4), 379–392. </w:t>
      </w:r>
    </w:p>
    <w:p w14:paraId="278E4050" w14:textId="66BCBE6C" w:rsidR="003D2F1B" w:rsidRPr="00D0247F" w:rsidRDefault="00810730" w:rsidP="00810730">
      <w:pPr>
        <w:spacing w:line="276" w:lineRule="auto"/>
        <w:ind w:left="426"/>
        <w:rPr>
          <w:rStyle w:val="Hyperlink"/>
          <w:sz w:val="16"/>
          <w:szCs w:val="16"/>
        </w:rPr>
      </w:pPr>
      <w:r w:rsidRPr="00D0247F">
        <w:rPr>
          <w:sz w:val="16"/>
          <w:szCs w:val="16"/>
        </w:rPr>
        <w:t xml:space="preserve">DOI: </w:t>
      </w:r>
      <w:hyperlink r:id="rId49" w:history="1">
        <w:r w:rsidR="003D2F1B" w:rsidRPr="00D0247F">
          <w:rPr>
            <w:rStyle w:val="Hyperlink"/>
            <w:sz w:val="16"/>
            <w:szCs w:val="16"/>
          </w:rPr>
          <w:t>https://doi.org/10.1002/ab.22030</w:t>
        </w:r>
      </w:hyperlink>
      <w:bookmarkEnd w:id="51"/>
    </w:p>
    <w:p w14:paraId="71E21DAF" w14:textId="77777777" w:rsidR="00810730" w:rsidRPr="00D0247F" w:rsidRDefault="00810730" w:rsidP="00810730">
      <w:pPr>
        <w:spacing w:line="276" w:lineRule="auto"/>
        <w:ind w:left="426"/>
        <w:rPr>
          <w:sz w:val="16"/>
          <w:szCs w:val="16"/>
        </w:rPr>
      </w:pPr>
    </w:p>
    <w:p w14:paraId="6DE73AE5" w14:textId="77777777" w:rsidR="00810730" w:rsidRPr="00D0247F" w:rsidRDefault="003D2F1B" w:rsidP="00810730">
      <w:pPr>
        <w:spacing w:line="276" w:lineRule="auto"/>
        <w:ind w:left="426" w:hanging="426"/>
        <w:rPr>
          <w:sz w:val="16"/>
          <w:szCs w:val="16"/>
        </w:rPr>
      </w:pPr>
      <w:bookmarkStart w:id="52" w:name="YUAN2017"/>
      <w:r w:rsidRPr="00D0247F">
        <w:rPr>
          <w:sz w:val="16"/>
          <w:szCs w:val="16"/>
        </w:rPr>
        <w:t xml:space="preserve">Yuan, R., &amp; Zhang, L. J. (2017). Exploring student teachers’ motivation change in initial teacher education: A Chinese perspective. </w:t>
      </w:r>
      <w:r w:rsidRPr="00D0247F">
        <w:rPr>
          <w:i/>
          <w:iCs/>
          <w:sz w:val="16"/>
          <w:szCs w:val="16"/>
        </w:rPr>
        <w:t>Teaching and Teacher Education, 61,</w:t>
      </w:r>
      <w:r w:rsidRPr="00D0247F">
        <w:rPr>
          <w:sz w:val="16"/>
          <w:szCs w:val="16"/>
        </w:rPr>
        <w:t xml:space="preserve"> 142–152. </w:t>
      </w:r>
    </w:p>
    <w:p w14:paraId="1745F57C" w14:textId="09180749" w:rsidR="003D2F1B" w:rsidRPr="00D0247F" w:rsidRDefault="00810730" w:rsidP="00810730">
      <w:pPr>
        <w:spacing w:line="276" w:lineRule="auto"/>
        <w:ind w:left="426"/>
        <w:rPr>
          <w:rStyle w:val="Hyperlink"/>
          <w:sz w:val="16"/>
          <w:szCs w:val="16"/>
        </w:rPr>
      </w:pPr>
      <w:r w:rsidRPr="00D0247F">
        <w:rPr>
          <w:sz w:val="16"/>
          <w:szCs w:val="16"/>
        </w:rPr>
        <w:t xml:space="preserve">DOI: </w:t>
      </w:r>
      <w:hyperlink r:id="rId50" w:history="1">
        <w:r w:rsidR="003D2F1B" w:rsidRPr="00D0247F">
          <w:rPr>
            <w:rStyle w:val="Hyperlink"/>
            <w:sz w:val="16"/>
            <w:szCs w:val="16"/>
          </w:rPr>
          <w:t>https://doi.org/10.1016/j.tate.2016.10.010</w:t>
        </w:r>
      </w:hyperlink>
      <w:bookmarkEnd w:id="52"/>
    </w:p>
    <w:p w14:paraId="79DC38A8" w14:textId="77777777" w:rsidR="00810730" w:rsidRPr="00D0247F" w:rsidRDefault="00810730" w:rsidP="00810730">
      <w:pPr>
        <w:spacing w:line="276" w:lineRule="auto"/>
        <w:ind w:left="426"/>
        <w:rPr>
          <w:sz w:val="16"/>
          <w:szCs w:val="16"/>
        </w:rPr>
      </w:pPr>
    </w:p>
    <w:p w14:paraId="55FC0C11" w14:textId="77777777" w:rsidR="00810730" w:rsidRPr="00D0247F" w:rsidRDefault="003D2F1B" w:rsidP="00810730">
      <w:pPr>
        <w:spacing w:line="276" w:lineRule="auto"/>
        <w:ind w:left="426" w:hanging="426"/>
        <w:rPr>
          <w:sz w:val="16"/>
          <w:szCs w:val="16"/>
        </w:rPr>
      </w:pPr>
      <w:bookmarkStart w:id="53" w:name="ZENG2019"/>
      <w:r w:rsidRPr="00D0247F">
        <w:rPr>
          <w:sz w:val="16"/>
          <w:szCs w:val="16"/>
        </w:rPr>
        <w:t xml:space="preserve">Zeng, G., Chen, X., Cheung, H. Y., &amp; Peng, K. (2019). Teachers’ growth mindset and work engagement in the Chinese educational context: Well-being and perseverance of effort as mediators. </w:t>
      </w:r>
      <w:r w:rsidRPr="00D0247F">
        <w:rPr>
          <w:i/>
          <w:iCs/>
          <w:sz w:val="16"/>
          <w:szCs w:val="16"/>
        </w:rPr>
        <w:t>Frontiers in Psychology, 10,</w:t>
      </w:r>
      <w:r w:rsidRPr="00D0247F">
        <w:rPr>
          <w:sz w:val="16"/>
          <w:szCs w:val="16"/>
        </w:rPr>
        <w:t xml:space="preserve"> 442256. </w:t>
      </w:r>
    </w:p>
    <w:p w14:paraId="71E76744" w14:textId="21DE44EB" w:rsidR="003D2F1B" w:rsidRDefault="00810730" w:rsidP="00810730">
      <w:pPr>
        <w:spacing w:line="276" w:lineRule="auto"/>
        <w:ind w:left="426"/>
        <w:rPr>
          <w:rStyle w:val="Hyperlink"/>
          <w:sz w:val="16"/>
          <w:szCs w:val="16"/>
        </w:rPr>
      </w:pPr>
      <w:r w:rsidRPr="00D0247F">
        <w:rPr>
          <w:sz w:val="16"/>
          <w:szCs w:val="16"/>
        </w:rPr>
        <w:t xml:space="preserve">DOI: </w:t>
      </w:r>
      <w:hyperlink r:id="rId51" w:history="1">
        <w:r w:rsidR="003D2F1B" w:rsidRPr="00D0247F">
          <w:rPr>
            <w:rStyle w:val="Hyperlink"/>
            <w:sz w:val="16"/>
            <w:szCs w:val="16"/>
          </w:rPr>
          <w:t>https://doi.org/10.3389/fpsyg.2019.00839</w:t>
        </w:r>
      </w:hyperlink>
      <w:bookmarkEnd w:id="53"/>
    </w:p>
    <w:p w14:paraId="39AAF62F" w14:textId="77777777" w:rsidR="00D0247F" w:rsidRDefault="00D0247F" w:rsidP="00810730">
      <w:pPr>
        <w:spacing w:line="276" w:lineRule="auto"/>
        <w:ind w:left="426"/>
        <w:rPr>
          <w:sz w:val="16"/>
          <w:szCs w:val="16"/>
        </w:rPr>
        <w:sectPr w:rsidR="00D0247F" w:rsidSect="00E1619F">
          <w:type w:val="continuous"/>
          <w:pgSz w:w="11909" w:h="16834" w:code="9"/>
          <w:pgMar w:top="1282" w:right="1109" w:bottom="1253" w:left="1109" w:header="720" w:footer="720" w:gutter="0"/>
          <w:cols w:num="2" w:space="720"/>
          <w:docGrid w:linePitch="360"/>
        </w:sectPr>
      </w:pPr>
    </w:p>
    <w:p w14:paraId="6706A224" w14:textId="1F91DBD3" w:rsidR="00D0247F" w:rsidRPr="00D0247F" w:rsidRDefault="00D0247F" w:rsidP="00810730">
      <w:pPr>
        <w:spacing w:line="276" w:lineRule="auto"/>
        <w:ind w:left="426"/>
        <w:rPr>
          <w:sz w:val="16"/>
          <w:szCs w:val="16"/>
        </w:rPr>
      </w:pPr>
      <w:r>
        <w:rPr>
          <w:sz w:val="16"/>
          <w:szCs w:val="16"/>
        </w:rPr>
        <w:t xml:space="preserve">  </w:t>
      </w:r>
    </w:p>
    <w:p w14:paraId="6497FA75" w14:textId="47C1CE50" w:rsidR="003D2F1B" w:rsidRDefault="003D2F1B" w:rsidP="004861D1"/>
    <w:p w14:paraId="74F549DA" w14:textId="1BF10C63" w:rsidR="004861D1" w:rsidRDefault="004861D1" w:rsidP="004861D1">
      <w:pPr>
        <w:jc w:val="center"/>
        <w:rPr>
          <w:b/>
          <w:bCs w:val="0"/>
          <w:sz w:val="22"/>
          <w:szCs w:val="22"/>
        </w:rPr>
      </w:pPr>
      <w:r w:rsidRPr="004861D1">
        <w:rPr>
          <w:b/>
          <w:bCs w:val="0"/>
          <w:sz w:val="22"/>
          <w:szCs w:val="22"/>
        </w:rPr>
        <w:lastRenderedPageBreak/>
        <w:t>Biodata</w:t>
      </w:r>
    </w:p>
    <w:p w14:paraId="0974FB66" w14:textId="77777777" w:rsidR="004861D1" w:rsidRPr="004861D1" w:rsidRDefault="004861D1" w:rsidP="004861D1">
      <w:pPr>
        <w:jc w:val="center"/>
        <w:rPr>
          <w:b/>
          <w:bCs w:val="0"/>
          <w:sz w:val="22"/>
          <w:szCs w:val="22"/>
        </w:rPr>
      </w:pPr>
    </w:p>
    <w:p w14:paraId="011F198C" w14:textId="4B086CDF" w:rsidR="004861D1" w:rsidRDefault="004861D1" w:rsidP="004861D1">
      <w:pPr>
        <w:tabs>
          <w:tab w:val="left" w:pos="7908"/>
        </w:tabs>
        <w:jc w:val="center"/>
      </w:pPr>
      <w:r w:rsidRPr="004861D1">
        <w:rPr>
          <w:b/>
          <w:bCs w:val="0"/>
        </w:rPr>
        <w:t>Farnoush Ahangaran</w:t>
      </w:r>
      <w:r w:rsidRPr="004861D1">
        <w:t>, an Assistant Professor at Urmia Azad University, Iran, holds a PhD in English Language Teaching (ELT) with 25 years of teaching experience. He has supervised and examined numerous MA theses and currently teaches ELT courses at the BA and MA levels, as well as specialized online courses. A TESOL-certified educator, Dr. Ahangaran is highly dedicated to English Language Teaching.</w:t>
      </w:r>
    </w:p>
    <w:p w14:paraId="1D459276" w14:textId="77777777" w:rsidR="004861D1" w:rsidRPr="004861D1" w:rsidRDefault="004861D1" w:rsidP="004861D1">
      <w:pPr>
        <w:tabs>
          <w:tab w:val="left" w:pos="7908"/>
        </w:tabs>
        <w:jc w:val="center"/>
        <w:rPr>
          <w:bCs w:val="0"/>
        </w:rPr>
      </w:pPr>
    </w:p>
    <w:p w14:paraId="7114B1B2" w14:textId="2123D253" w:rsidR="004861D1" w:rsidRPr="004861D1" w:rsidRDefault="004861D1" w:rsidP="004861D1">
      <w:pPr>
        <w:jc w:val="center"/>
      </w:pPr>
      <w:r w:rsidRPr="004861D1">
        <w:rPr>
          <w:b/>
          <w:bCs w:val="0"/>
        </w:rPr>
        <w:t>Aram Pouyan</w:t>
      </w:r>
      <w:r w:rsidRPr="004861D1">
        <w:t>, an Assistant Professor, holds a PhD in English Language Teaching (ELT) with over 17 years of teaching experience. She has taught ELT courses at BA level as well as online for many years. A TESOL-certified educator, Dr. Pouyan is highly professional in English Language Teaching.</w:t>
      </w:r>
    </w:p>
    <w:sectPr w:rsidR="004861D1" w:rsidRPr="004861D1" w:rsidSect="004861D1">
      <w:type w:val="continuous"/>
      <w:pgSz w:w="11909" w:h="16834" w:code="9"/>
      <w:pgMar w:top="1282" w:right="1109" w:bottom="1253" w:left="11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C8E6D0" w14:textId="77777777" w:rsidR="004D34B3" w:rsidRDefault="004D34B3" w:rsidP="005576DB">
      <w:r>
        <w:separator/>
      </w:r>
    </w:p>
  </w:endnote>
  <w:endnote w:type="continuationSeparator" w:id="0">
    <w:p w14:paraId="3ADF9E9C" w14:textId="77777777" w:rsidR="004D34B3" w:rsidRDefault="004D34B3" w:rsidP="00557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B Zar">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F3192" w14:textId="0BDB09BC" w:rsidR="00B76659" w:rsidRPr="00C47878" w:rsidRDefault="00B76659" w:rsidP="00EC562C">
    <w:pPr>
      <w:pStyle w:val="Footer"/>
      <w:rPr>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47878">
      <w:rPr>
        <w:noProof/>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drawing>
        <wp:anchor distT="0" distB="0" distL="114300" distR="114300" simplePos="0" relativeHeight="251661312" behindDoc="1" locked="0" layoutInCell="1" allowOverlap="1" wp14:anchorId="6BCF6B55" wp14:editId="0F559172">
          <wp:simplePos x="0" y="0"/>
          <wp:positionH relativeFrom="margin">
            <wp:align>left</wp:align>
          </wp:positionH>
          <wp:positionV relativeFrom="paragraph">
            <wp:posOffset>4233</wp:posOffset>
          </wp:positionV>
          <wp:extent cx="139700" cy="139700"/>
          <wp:effectExtent l="0" t="0" r="0" b="0"/>
          <wp:wrapThrough wrapText="bothSides">
            <wp:wrapPolygon edited="0">
              <wp:start x="0" y="0"/>
              <wp:lineTo x="0" y="17673"/>
              <wp:lineTo x="17673" y="17673"/>
              <wp:lineTo x="17673" y="0"/>
              <wp:lineTo x="0" y="0"/>
            </wp:wrapPolygon>
          </wp:wrapThrough>
          <wp:docPr id="1059676816" name="Picture 8" descr="شناساگر اشیاء دیجیتال - ویکی‌پدیا، دانشنامهٔ آزا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شناساگر اشیاء دیجیتال - ویکی‌پدیا، دانشنامهٔ آزاد"/>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anchor>
      </w:drawing>
    </w:r>
    <w:r w:rsidRPr="00C47878">
      <w:rPr>
        <w:rFonts w:hint="cs"/>
        <w:color w:val="0070C0"/>
      </w:rPr>
      <w:t xml:space="preserve">  </w:t>
    </w:r>
    <w:r w:rsidRPr="00C47878">
      <w:rPr>
        <w:rFonts w:hint="cs"/>
        <w:color w:val="0070C0"/>
        <w:rtl/>
      </w:rPr>
      <w:t xml:space="preserve"> </w:t>
    </w:r>
    <w:hyperlink r:id="rId2" w:history="1">
      <w:r w:rsidR="00C47878" w:rsidRPr="00C47878">
        <w:rPr>
          <w:rStyle w:val="Hyperlink"/>
          <w:noProof/>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10.57647/jelpp.2025.1802.17</w:t>
      </w:r>
    </w:hyperlink>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E13E4" w14:textId="606DD41D" w:rsidR="00B76659" w:rsidRPr="00C47878" w:rsidRDefault="00B76659" w:rsidP="00EC562C">
    <w:pPr>
      <w:pStyle w:val="Footer"/>
      <w:rPr>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47878">
      <w:rPr>
        <w:noProof/>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drawing>
        <wp:anchor distT="0" distB="0" distL="114300" distR="114300" simplePos="0" relativeHeight="251663360" behindDoc="1" locked="0" layoutInCell="1" allowOverlap="1" wp14:anchorId="47062B13" wp14:editId="52AF4527">
          <wp:simplePos x="0" y="0"/>
          <wp:positionH relativeFrom="margin">
            <wp:align>left</wp:align>
          </wp:positionH>
          <wp:positionV relativeFrom="paragraph">
            <wp:posOffset>4233</wp:posOffset>
          </wp:positionV>
          <wp:extent cx="139700" cy="139700"/>
          <wp:effectExtent l="0" t="0" r="0" b="0"/>
          <wp:wrapThrough wrapText="bothSides">
            <wp:wrapPolygon edited="0">
              <wp:start x="0" y="0"/>
              <wp:lineTo x="0" y="17673"/>
              <wp:lineTo x="17673" y="17673"/>
              <wp:lineTo x="17673" y="0"/>
              <wp:lineTo x="0" y="0"/>
            </wp:wrapPolygon>
          </wp:wrapThrough>
          <wp:docPr id="1673646612" name="Picture 8" descr="شناساگر اشیاء دیجیتال - ویکی‌پدیا، دانشنامهٔ آزا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شناساگر اشیاء دیجیتال - ویکی‌پدیا، دانشنامهٔ آزاد"/>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anchor>
      </w:drawing>
    </w:r>
    <w:r w:rsidRPr="00C47878">
      <w:rPr>
        <w:rFonts w:hint="cs"/>
        <w:color w:val="0070C0"/>
      </w:rPr>
      <w:t xml:space="preserve">  </w:t>
    </w:r>
    <w:r w:rsidRPr="00C47878">
      <w:rPr>
        <w:rFonts w:hint="cs"/>
        <w:color w:val="0070C0"/>
        <w:rtl/>
      </w:rPr>
      <w:t xml:space="preserve"> </w:t>
    </w:r>
    <w:hyperlink r:id="rId2" w:history="1">
      <w:r w:rsidR="00C47878" w:rsidRPr="00C47878">
        <w:rPr>
          <w:rStyle w:val="Hyperlink"/>
          <w:noProof/>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10.57647/jelpp.2025.1802.17</w:t>
      </w:r>
    </w:hyperlink>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3BB99" w14:textId="2C42381E" w:rsidR="00B76659" w:rsidRPr="00C47878" w:rsidRDefault="00B76659" w:rsidP="00EC562C">
    <w:pPr>
      <w:pStyle w:val="Footer"/>
      <w:rPr>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47878">
      <w:rPr>
        <w:noProof/>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drawing>
        <wp:anchor distT="0" distB="0" distL="114300" distR="114300" simplePos="0" relativeHeight="251659264" behindDoc="1" locked="0" layoutInCell="1" allowOverlap="1" wp14:anchorId="1BAD32A1" wp14:editId="5E7C17BD">
          <wp:simplePos x="0" y="0"/>
          <wp:positionH relativeFrom="margin">
            <wp:align>left</wp:align>
          </wp:positionH>
          <wp:positionV relativeFrom="paragraph">
            <wp:posOffset>4233</wp:posOffset>
          </wp:positionV>
          <wp:extent cx="139700" cy="139700"/>
          <wp:effectExtent l="0" t="0" r="0" b="0"/>
          <wp:wrapThrough wrapText="bothSides">
            <wp:wrapPolygon edited="0">
              <wp:start x="0" y="0"/>
              <wp:lineTo x="0" y="17673"/>
              <wp:lineTo x="17673" y="17673"/>
              <wp:lineTo x="17673" y="0"/>
              <wp:lineTo x="0" y="0"/>
            </wp:wrapPolygon>
          </wp:wrapThrough>
          <wp:docPr id="229961617" name="Picture 8" descr="شناساگر اشیاء دیجیتال - ویکی‌پدیا، دانشنامهٔ آزا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شناساگر اشیاء دیجیتال - ویکی‌پدیا، دانشنامهٔ آزاد"/>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anchor>
      </w:drawing>
    </w:r>
    <w:r w:rsidRPr="00C47878">
      <w:rPr>
        <w:rFonts w:hint="cs"/>
        <w:color w:val="0070C0"/>
      </w:rPr>
      <w:t xml:space="preserve">  </w:t>
    </w:r>
    <w:r w:rsidRPr="00C47878">
      <w:rPr>
        <w:rFonts w:hint="cs"/>
        <w:color w:val="0070C0"/>
        <w:rtl/>
      </w:rPr>
      <w:t xml:space="preserve"> </w:t>
    </w:r>
    <w:hyperlink r:id="rId2" w:history="1">
      <w:r w:rsidR="00C47878" w:rsidRPr="00C47878">
        <w:rPr>
          <w:rStyle w:val="Hyperlink"/>
          <w:noProof/>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10.57647/jelpp.2025.1802.17</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9F6055" w14:textId="77777777" w:rsidR="004D34B3" w:rsidRDefault="004D34B3" w:rsidP="005576DB">
      <w:r>
        <w:separator/>
      </w:r>
    </w:p>
  </w:footnote>
  <w:footnote w:type="continuationSeparator" w:id="0">
    <w:p w14:paraId="7DBBCA1A" w14:textId="77777777" w:rsidR="004D34B3" w:rsidRDefault="004D34B3" w:rsidP="005576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420795786"/>
      <w:docPartObj>
        <w:docPartGallery w:val="Page Numbers (Top of Page)"/>
        <w:docPartUnique/>
      </w:docPartObj>
    </w:sdtPr>
    <w:sdtEndPr>
      <w:rPr>
        <w:noProof/>
      </w:rPr>
    </w:sdtEndPr>
    <w:sdtContent>
      <w:p w14:paraId="0EEDFB12" w14:textId="751926A9" w:rsidR="00B76659" w:rsidRPr="00EC562C" w:rsidRDefault="00786E29" w:rsidP="00786E29">
        <w:pPr>
          <w:pStyle w:val="Header"/>
          <w:pBdr>
            <w:bottom w:val="single" w:sz="2" w:space="1" w:color="auto"/>
          </w:pBdr>
          <w:rPr>
            <w:sz w:val="16"/>
            <w:szCs w:val="16"/>
          </w:rPr>
        </w:pPr>
        <w:r w:rsidRPr="00786E29">
          <w:rPr>
            <w:i/>
            <w:iCs/>
            <w:noProof/>
            <w:sz w:val="16"/>
            <w:szCs w:val="16"/>
          </w:rPr>
          <w:t>Ahangaran</w:t>
        </w:r>
        <w:r w:rsidRPr="00867B09">
          <w:rPr>
            <w:i/>
            <w:iCs/>
            <w:noProof/>
            <w:sz w:val="16"/>
            <w:szCs w:val="16"/>
          </w:rPr>
          <w:t xml:space="preserve"> </w:t>
        </w:r>
        <w:r w:rsidR="00B76659" w:rsidRPr="00867B09">
          <w:rPr>
            <w:i/>
            <w:iCs/>
            <w:noProof/>
            <w:sz w:val="16"/>
            <w:szCs w:val="16"/>
          </w:rPr>
          <w:t xml:space="preserve">et al., </w:t>
        </w:r>
        <w:r w:rsidRPr="00AF1EC6">
          <w:rPr>
            <w:i/>
            <w:iCs/>
            <w:noProof/>
            <w:sz w:val="16"/>
            <w:szCs w:val="16"/>
          </w:rPr>
          <w:t xml:space="preserve">J. Engl. Lang. Pedagog. Pract., </w:t>
        </w:r>
        <w:r w:rsidR="00B76659" w:rsidRPr="00B54F39">
          <w:rPr>
            <w:i/>
            <w:iCs/>
            <w:noProof/>
            <w:sz w:val="16"/>
            <w:szCs w:val="16"/>
          </w:rPr>
          <w:t>1</w:t>
        </w:r>
        <w:r>
          <w:rPr>
            <w:i/>
            <w:iCs/>
            <w:noProof/>
            <w:sz w:val="16"/>
            <w:szCs w:val="16"/>
          </w:rPr>
          <w:t>8</w:t>
        </w:r>
        <w:r w:rsidR="00B76659" w:rsidRPr="00867B09">
          <w:rPr>
            <w:i/>
            <w:iCs/>
            <w:noProof/>
            <w:sz w:val="16"/>
            <w:szCs w:val="16"/>
          </w:rPr>
          <w:t>(</w:t>
        </w:r>
        <w:r>
          <w:rPr>
            <w:i/>
            <w:iCs/>
            <w:noProof/>
            <w:sz w:val="16"/>
            <w:szCs w:val="16"/>
          </w:rPr>
          <w:t>2</w:t>
        </w:r>
        <w:r w:rsidR="00B76659" w:rsidRPr="00867B09">
          <w:rPr>
            <w:i/>
            <w:iCs/>
            <w:noProof/>
            <w:sz w:val="16"/>
            <w:szCs w:val="16"/>
          </w:rPr>
          <w:t>)</w:t>
        </w:r>
        <w:r w:rsidR="00B76659" w:rsidRPr="00867B09">
          <w:rPr>
            <w:b/>
            <w:i/>
            <w:iCs/>
            <w:noProof/>
            <w:sz w:val="16"/>
            <w:szCs w:val="16"/>
          </w:rPr>
          <w:t xml:space="preserve"> </w:t>
        </w:r>
        <w:r w:rsidR="00B76659" w:rsidRPr="00867B09">
          <w:rPr>
            <w:i/>
            <w:iCs/>
            <w:noProof/>
            <w:sz w:val="16"/>
            <w:szCs w:val="16"/>
          </w:rPr>
          <w:t>2025</w:t>
        </w:r>
        <w:r w:rsidR="00B76659">
          <w:rPr>
            <w:noProof/>
            <w:sz w:val="16"/>
            <w:szCs w:val="16"/>
          </w:rPr>
          <w:t xml:space="preserve">                                        </w:t>
        </w:r>
        <w:r>
          <w:rPr>
            <w:noProof/>
            <w:sz w:val="16"/>
            <w:szCs w:val="16"/>
          </w:rPr>
          <w:t xml:space="preserve"> </w:t>
        </w:r>
        <w:r w:rsidR="00B76659">
          <w:rPr>
            <w:noProof/>
            <w:sz w:val="16"/>
            <w:szCs w:val="16"/>
          </w:rPr>
          <w:t xml:space="preserve">                                        </w:t>
        </w:r>
        <w:r w:rsidR="00B76659" w:rsidRPr="00867B09">
          <w:rPr>
            <w:noProof/>
            <w:sz w:val="16"/>
            <w:szCs w:val="16"/>
          </w:rPr>
          <w:t xml:space="preserve"> </w:t>
        </w:r>
        <w:sdt>
          <w:sdtPr>
            <w:rPr>
              <w:sz w:val="16"/>
              <w:szCs w:val="16"/>
            </w:rPr>
            <w:id w:val="-1097556758"/>
            <w:docPartObj>
              <w:docPartGallery w:val="Page Numbers (Top of Page)"/>
              <w:docPartUnique/>
            </w:docPartObj>
          </w:sdtPr>
          <w:sdtEndPr>
            <w:rPr>
              <w:noProof/>
            </w:rPr>
          </w:sdtEndPr>
          <w:sdtContent>
            <w:r w:rsidR="00B76659" w:rsidRPr="00867B09">
              <w:rPr>
                <w:sz w:val="16"/>
                <w:szCs w:val="16"/>
              </w:rPr>
              <w:fldChar w:fldCharType="begin"/>
            </w:r>
            <w:r w:rsidR="00B76659" w:rsidRPr="00867B09">
              <w:rPr>
                <w:sz w:val="16"/>
                <w:szCs w:val="16"/>
              </w:rPr>
              <w:instrText xml:space="preserve"> PAGE   \* MERGEFORMAT </w:instrText>
            </w:r>
            <w:r w:rsidR="00B76659" w:rsidRPr="00867B09">
              <w:rPr>
                <w:sz w:val="16"/>
                <w:szCs w:val="16"/>
              </w:rPr>
              <w:fldChar w:fldCharType="separate"/>
            </w:r>
            <w:r w:rsidR="00A128F0">
              <w:rPr>
                <w:noProof/>
                <w:sz w:val="16"/>
                <w:szCs w:val="16"/>
              </w:rPr>
              <w:t>10</w:t>
            </w:r>
            <w:r w:rsidR="00B76659" w:rsidRPr="00867B09">
              <w:rPr>
                <w:noProof/>
                <w:sz w:val="16"/>
                <w:szCs w:val="16"/>
              </w:rPr>
              <w:fldChar w:fldCharType="end"/>
            </w:r>
            <w:r w:rsidR="00B76659">
              <w:rPr>
                <w:noProof/>
                <w:sz w:val="16"/>
                <w:szCs w:val="16"/>
              </w:rPr>
              <w:br/>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653250163"/>
      <w:docPartObj>
        <w:docPartGallery w:val="Page Numbers (Top of Page)"/>
        <w:docPartUnique/>
      </w:docPartObj>
    </w:sdtPr>
    <w:sdtEndPr>
      <w:rPr>
        <w:noProof/>
      </w:rPr>
    </w:sdtEndPr>
    <w:sdtContent>
      <w:p w14:paraId="45EA7832" w14:textId="002C8A94" w:rsidR="00B76659" w:rsidRDefault="00B76659" w:rsidP="00786E29">
        <w:pPr>
          <w:pStyle w:val="Header"/>
          <w:rPr>
            <w:i/>
            <w:iCs/>
            <w:noProof/>
            <w:sz w:val="16"/>
            <w:szCs w:val="16"/>
          </w:rPr>
        </w:pPr>
        <w:r w:rsidRPr="00867B09">
          <w:rPr>
            <w:sz w:val="16"/>
            <w:szCs w:val="16"/>
          </w:rPr>
          <w:fldChar w:fldCharType="begin"/>
        </w:r>
        <w:r w:rsidRPr="00867B09">
          <w:rPr>
            <w:sz w:val="16"/>
            <w:szCs w:val="16"/>
          </w:rPr>
          <w:instrText xml:space="preserve"> PAGE   \* MERGEFORMAT </w:instrText>
        </w:r>
        <w:r w:rsidRPr="00867B09">
          <w:rPr>
            <w:sz w:val="16"/>
            <w:szCs w:val="16"/>
          </w:rPr>
          <w:fldChar w:fldCharType="separate"/>
        </w:r>
        <w:r w:rsidR="00A128F0">
          <w:rPr>
            <w:noProof/>
            <w:sz w:val="16"/>
            <w:szCs w:val="16"/>
          </w:rPr>
          <w:t>11</w:t>
        </w:r>
        <w:r w:rsidRPr="00867B09">
          <w:rPr>
            <w:noProof/>
            <w:sz w:val="16"/>
            <w:szCs w:val="16"/>
          </w:rPr>
          <w:fldChar w:fldCharType="end"/>
        </w:r>
        <w:r>
          <w:rPr>
            <w:noProof/>
            <w:sz w:val="16"/>
            <w:szCs w:val="16"/>
          </w:rPr>
          <w:t xml:space="preserve">                                                           </w:t>
        </w:r>
        <w:r w:rsidR="00786E29">
          <w:rPr>
            <w:noProof/>
            <w:sz w:val="16"/>
            <w:szCs w:val="16"/>
          </w:rPr>
          <w:t xml:space="preserve">                                                        </w:t>
        </w:r>
        <w:r>
          <w:rPr>
            <w:noProof/>
            <w:sz w:val="16"/>
            <w:szCs w:val="16"/>
          </w:rPr>
          <w:t xml:space="preserve">                         </w:t>
        </w:r>
        <w:r w:rsidR="00786E29" w:rsidRPr="00786E29">
          <w:rPr>
            <w:i/>
            <w:iCs/>
            <w:noProof/>
            <w:sz w:val="16"/>
            <w:szCs w:val="16"/>
          </w:rPr>
          <w:t>Ahangaran</w:t>
        </w:r>
        <w:r w:rsidR="00786E29" w:rsidRPr="00867B09">
          <w:rPr>
            <w:i/>
            <w:iCs/>
            <w:noProof/>
            <w:sz w:val="16"/>
            <w:szCs w:val="16"/>
          </w:rPr>
          <w:t xml:space="preserve"> </w:t>
        </w:r>
        <w:r w:rsidRPr="00867B09">
          <w:rPr>
            <w:i/>
            <w:iCs/>
            <w:noProof/>
            <w:sz w:val="16"/>
            <w:szCs w:val="16"/>
          </w:rPr>
          <w:t xml:space="preserve">et al., </w:t>
        </w:r>
        <w:r w:rsidR="00786E29" w:rsidRPr="00AF1EC6">
          <w:rPr>
            <w:i/>
            <w:iCs/>
            <w:noProof/>
            <w:sz w:val="16"/>
            <w:szCs w:val="16"/>
          </w:rPr>
          <w:t xml:space="preserve">J. Engl. Lang. Pedagog. Pract., </w:t>
        </w:r>
        <w:r w:rsidRPr="00B54F39">
          <w:rPr>
            <w:i/>
            <w:iCs/>
            <w:noProof/>
            <w:sz w:val="16"/>
            <w:szCs w:val="16"/>
          </w:rPr>
          <w:t>1</w:t>
        </w:r>
        <w:r w:rsidR="00786E29">
          <w:rPr>
            <w:i/>
            <w:iCs/>
            <w:noProof/>
            <w:sz w:val="16"/>
            <w:szCs w:val="16"/>
          </w:rPr>
          <w:t>8</w:t>
        </w:r>
        <w:r w:rsidRPr="00867B09">
          <w:rPr>
            <w:i/>
            <w:iCs/>
            <w:noProof/>
            <w:sz w:val="16"/>
            <w:szCs w:val="16"/>
          </w:rPr>
          <w:t>(</w:t>
        </w:r>
        <w:r w:rsidR="00786E29">
          <w:rPr>
            <w:i/>
            <w:iCs/>
            <w:noProof/>
            <w:sz w:val="16"/>
            <w:szCs w:val="16"/>
          </w:rPr>
          <w:t>2</w:t>
        </w:r>
        <w:r w:rsidRPr="00867B09">
          <w:rPr>
            <w:i/>
            <w:iCs/>
            <w:noProof/>
            <w:sz w:val="16"/>
            <w:szCs w:val="16"/>
          </w:rPr>
          <w:t>)</w:t>
        </w:r>
        <w:r w:rsidRPr="00867B09">
          <w:rPr>
            <w:b/>
            <w:i/>
            <w:iCs/>
            <w:noProof/>
            <w:sz w:val="16"/>
            <w:szCs w:val="16"/>
          </w:rPr>
          <w:t xml:space="preserve"> </w:t>
        </w:r>
        <w:r w:rsidRPr="00867B09">
          <w:rPr>
            <w:i/>
            <w:iCs/>
            <w:noProof/>
            <w:sz w:val="16"/>
            <w:szCs w:val="16"/>
          </w:rPr>
          <w:t>2025</w:t>
        </w:r>
      </w:p>
      <w:p w14:paraId="05A8D718" w14:textId="0880D4F6" w:rsidR="00B76659" w:rsidRPr="00EC562C" w:rsidRDefault="004D34B3" w:rsidP="00EC562C">
        <w:pPr>
          <w:pStyle w:val="Header"/>
          <w:pBdr>
            <w:bottom w:val="single" w:sz="4" w:space="1" w:color="auto"/>
          </w:pBdr>
          <w:rPr>
            <w:noProof/>
            <w:sz w:val="16"/>
            <w:szCs w:val="16"/>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6B2D6" w14:textId="215ACDBE" w:rsidR="00B76659" w:rsidRPr="004F016C" w:rsidRDefault="00B76659" w:rsidP="00EB1B6E">
    <w:pPr>
      <w:pStyle w:val="Volume"/>
    </w:pPr>
    <w:r>
      <w:rPr>
        <w:noProof/>
        <w14:ligatures w14:val="standardContextual"/>
      </w:rPr>
      <w:drawing>
        <wp:anchor distT="0" distB="0" distL="114300" distR="114300" simplePos="0" relativeHeight="251667456" behindDoc="0" locked="0" layoutInCell="1" allowOverlap="1" wp14:anchorId="7566CEF1" wp14:editId="579BDD85">
          <wp:simplePos x="0" y="0"/>
          <wp:positionH relativeFrom="margin">
            <wp:posOffset>635</wp:posOffset>
          </wp:positionH>
          <wp:positionV relativeFrom="paragraph">
            <wp:posOffset>19310</wp:posOffset>
          </wp:positionV>
          <wp:extent cx="1035050" cy="1293812"/>
          <wp:effectExtent l="0" t="0" r="0" b="1905"/>
          <wp:wrapNone/>
          <wp:docPr id="8895730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063746" name="Picture 2075063746"/>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5050" cy="1293812"/>
                  </a:xfrm>
                  <a:prstGeom prst="rect">
                    <a:avLst/>
                  </a:prstGeom>
                </pic:spPr>
              </pic:pic>
            </a:graphicData>
          </a:graphic>
          <wp14:sizeRelV relativeFrom="margin">
            <wp14:pctHeight>0</wp14:pctHeight>
          </wp14:sizeRelV>
        </wp:anchor>
      </w:drawing>
    </w:r>
    <w:r w:rsidRPr="00706F63">
      <w:rPr>
        <w:noProof/>
      </w:rPr>
      <w:drawing>
        <wp:anchor distT="0" distB="0" distL="114300" distR="114300" simplePos="0" relativeHeight="251665408" behindDoc="0" locked="0" layoutInCell="1" allowOverlap="1" wp14:anchorId="2C2FF9E9" wp14:editId="30D2CBF1">
          <wp:simplePos x="0" y="0"/>
          <wp:positionH relativeFrom="margin">
            <wp:posOffset>5057775</wp:posOffset>
          </wp:positionH>
          <wp:positionV relativeFrom="page">
            <wp:posOffset>457835</wp:posOffset>
          </wp:positionV>
          <wp:extent cx="1097915" cy="765810"/>
          <wp:effectExtent l="0" t="0" r="6985" b="0"/>
          <wp:wrapNone/>
          <wp:docPr id="6195404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052778" name=""/>
                  <pic:cNvPicPr/>
                </pic:nvPicPr>
                <pic:blipFill>
                  <a:blip r:embed="rId2">
                    <a:extLst>
                      <a:ext uri="{28A0092B-C50C-407E-A947-70E740481C1C}">
                        <a14:useLocalDpi xmlns:a14="http://schemas.microsoft.com/office/drawing/2010/main" val="0"/>
                      </a:ext>
                    </a:extLst>
                  </a:blip>
                  <a:stretch>
                    <a:fillRect/>
                  </a:stretch>
                </pic:blipFill>
                <pic:spPr>
                  <a:xfrm>
                    <a:off x="0" y="0"/>
                    <a:ext cx="1097915" cy="765810"/>
                  </a:xfrm>
                  <a:prstGeom prst="rect">
                    <a:avLst/>
                  </a:prstGeom>
                </pic:spPr>
              </pic:pic>
            </a:graphicData>
          </a:graphic>
          <wp14:sizeRelH relativeFrom="margin">
            <wp14:pctWidth>0</wp14:pctWidth>
          </wp14:sizeRelH>
          <wp14:sizeRelV relativeFrom="margin">
            <wp14:pctHeight>0</wp14:pctHeight>
          </wp14:sizeRelV>
        </wp:anchor>
      </w:drawing>
    </w:r>
    <w:r w:rsidRPr="004F016C">
      <w:t xml:space="preserve">Volume </w:t>
    </w:r>
    <w:r>
      <w:t>18</w:t>
    </w:r>
    <w:r w:rsidRPr="004F016C">
      <w:t xml:space="preserve">, Issue </w:t>
    </w:r>
    <w:r>
      <w:t>2</w:t>
    </w:r>
    <w:r w:rsidRPr="004F016C">
      <w:t xml:space="preserve">, (2025) Article </w:t>
    </w:r>
    <w:r>
      <w:t>17</w:t>
    </w:r>
  </w:p>
  <w:p w14:paraId="5D930C13" w14:textId="504F5480" w:rsidR="00B76659" w:rsidRPr="004F016C" w:rsidRDefault="00B76659" w:rsidP="004F016C">
    <w:pPr>
      <w:pStyle w:val="Header"/>
    </w:pPr>
  </w:p>
  <w:p w14:paraId="327A50B5" w14:textId="77777777" w:rsidR="00B76659" w:rsidRDefault="00B76659" w:rsidP="00EB1B6E">
    <w:pPr>
      <w:pStyle w:val="JournalName"/>
      <w:rPr>
        <w:color w:val="000000"/>
        <w:shd w:val="clear" w:color="auto" w:fill="FFFFFF"/>
      </w:rPr>
    </w:pPr>
    <w:r w:rsidRPr="003429C1">
      <w:rPr>
        <w:color w:val="000000"/>
        <w:shd w:val="clear" w:color="auto" w:fill="FFFFFF"/>
      </w:rPr>
      <w:t xml:space="preserve">Journal of </w:t>
    </w:r>
  </w:p>
  <w:p w14:paraId="19770AB8" w14:textId="77777777" w:rsidR="00B76659" w:rsidRPr="008B0C11" w:rsidRDefault="00B76659" w:rsidP="00EB1B6E">
    <w:pPr>
      <w:pStyle w:val="JournalName"/>
      <w:rPr>
        <w:color w:val="000000"/>
        <w:sz w:val="14"/>
        <w:szCs w:val="14"/>
        <w:shd w:val="clear" w:color="auto" w:fill="FFFFFF"/>
      </w:rPr>
    </w:pPr>
  </w:p>
  <w:p w14:paraId="06E2FBF4" w14:textId="77777777" w:rsidR="00B76659" w:rsidRDefault="00B76659" w:rsidP="00EB1B6E">
    <w:pPr>
      <w:pStyle w:val="JournalName"/>
      <w:rPr>
        <w:color w:val="000000"/>
        <w:shd w:val="clear" w:color="auto" w:fill="FFFFFF"/>
      </w:rPr>
    </w:pPr>
    <w:r w:rsidRPr="003429C1">
      <w:rPr>
        <w:color w:val="000000"/>
        <w:shd w:val="clear" w:color="auto" w:fill="FFFFFF"/>
      </w:rPr>
      <w:t>English Language Pedagogy and Practice</w:t>
    </w:r>
  </w:p>
  <w:p w14:paraId="4CE88194" w14:textId="77777777" w:rsidR="00B76659" w:rsidRPr="008B0C11" w:rsidRDefault="00B76659" w:rsidP="00EB1B6E">
    <w:pPr>
      <w:pStyle w:val="JournalName"/>
      <w:rPr>
        <w:color w:val="000000"/>
        <w:sz w:val="14"/>
        <w:szCs w:val="14"/>
        <w:shd w:val="clear" w:color="auto" w:fill="FFFFFF"/>
      </w:rPr>
    </w:pPr>
  </w:p>
  <w:p w14:paraId="0EBFDE9D" w14:textId="77777777" w:rsidR="00B76659" w:rsidRPr="008B0C11" w:rsidRDefault="00B76659" w:rsidP="00EB1B6E">
    <w:pPr>
      <w:pStyle w:val="JournalName"/>
      <w:rPr>
        <w:color w:val="000000"/>
        <w:shd w:val="clear" w:color="auto" w:fill="FFFFFF"/>
      </w:rPr>
    </w:pPr>
    <w:r w:rsidRPr="003429C1">
      <w:rPr>
        <w:color w:val="000000"/>
        <w:shd w:val="clear" w:color="auto" w:fill="FFFFFF"/>
      </w:rPr>
      <w:t>(JELPP)</w:t>
    </w:r>
  </w:p>
  <w:p w14:paraId="257A3823" w14:textId="500035C1" w:rsidR="00B76659" w:rsidRPr="004F016C" w:rsidRDefault="00B76659" w:rsidP="004F016C">
    <w:pPr>
      <w:pStyle w:val="Header"/>
    </w:pPr>
  </w:p>
  <w:p w14:paraId="52D8450F" w14:textId="77777777" w:rsidR="00B76659" w:rsidRDefault="00B76659" w:rsidP="00EB1B6E">
    <w:pPr>
      <w:pStyle w:val="Header"/>
      <w:rPr>
        <w:sz w:val="24"/>
        <w:szCs w:val="24"/>
      </w:rPr>
    </w:pPr>
  </w:p>
  <w:p w14:paraId="39141897" w14:textId="465C027D" w:rsidR="00B76659" w:rsidRPr="004F016C" w:rsidRDefault="00B76659" w:rsidP="00EB1B6E">
    <w:pPr>
      <w:pStyle w:val="Header"/>
    </w:pPr>
    <w:r w:rsidRPr="00D33654">
      <w:rPr>
        <w:sz w:val="24"/>
        <w:szCs w:val="24"/>
      </w:rPr>
      <w:t>Research Article</w:t>
    </w:r>
  </w:p>
  <w:p w14:paraId="1078EA6D" w14:textId="35AAE5C6" w:rsidR="00B76659" w:rsidRPr="00B624B2" w:rsidRDefault="004D34B3" w:rsidP="00B624B2">
    <w:pPr>
      <w:pStyle w:val="Info"/>
    </w:pPr>
    <w:hyperlink r:id="rId3" w:history="1">
      <w:r w:rsidR="00B76659" w:rsidRPr="00EB1B6E">
        <w:rPr>
          <w:rStyle w:val="Hyperlink"/>
          <w:color w:val="0070C0"/>
        </w:rPr>
        <w:t>https://doi.org/10.57647/jelpp.2025.1802.17</w:t>
      </w:r>
    </w:hyperlink>
  </w:p>
  <w:p w14:paraId="7E99D319" w14:textId="77777777" w:rsidR="00B76659" w:rsidRDefault="00B76659" w:rsidP="0076626D">
    <w:pPr>
      <w:jc w:val="center"/>
      <w:rPr>
        <w:rFonts w:eastAsiaTheme="minorHAnsi"/>
        <w:b/>
        <w:sz w:val="44"/>
        <w:szCs w:val="44"/>
        <w14:ligatures w14:val="standardContextual"/>
      </w:rPr>
    </w:pPr>
  </w:p>
  <w:p w14:paraId="2FF709D1" w14:textId="77777777" w:rsidR="00B76659" w:rsidRPr="00EB1B6E" w:rsidRDefault="00B76659" w:rsidP="00EB1B6E">
    <w:pPr>
      <w:jc w:val="center"/>
      <w:rPr>
        <w:b/>
        <w:bCs w:val="0"/>
        <w:sz w:val="44"/>
        <w:szCs w:val="44"/>
      </w:rPr>
    </w:pPr>
    <w:r w:rsidRPr="00EB1B6E">
      <w:rPr>
        <w:b/>
        <w:sz w:val="44"/>
        <w:szCs w:val="44"/>
      </w:rPr>
      <w:t>A Structural Equation Modelling Analysis of Factors Influencing Teaching</w:t>
    </w:r>
    <w:r w:rsidRPr="00EB1B6E">
      <w:rPr>
        <w:sz w:val="44"/>
        <w:szCs w:val="44"/>
      </w:rPr>
      <w:t xml:space="preserve"> </w:t>
    </w:r>
    <w:r w:rsidRPr="00EB1B6E">
      <w:rPr>
        <w:b/>
        <w:sz w:val="44"/>
        <w:szCs w:val="44"/>
      </w:rPr>
      <w:t xml:space="preserve">Motivation among German and Iranian English Instructors </w:t>
    </w:r>
  </w:p>
  <w:p w14:paraId="752DB6E1" w14:textId="0B2A220D" w:rsidR="00B76659" w:rsidRDefault="00B76659" w:rsidP="004F016C">
    <w:pPr>
      <w:pStyle w:val="Header"/>
    </w:pPr>
  </w:p>
  <w:p w14:paraId="6A68FBDA" w14:textId="77777777" w:rsidR="00B76659" w:rsidRPr="004F016C" w:rsidRDefault="00B76659" w:rsidP="004F016C">
    <w:pPr>
      <w:pStyle w:val="Header"/>
    </w:pPr>
  </w:p>
  <w:p w14:paraId="063D4A2F" w14:textId="15533F3C" w:rsidR="00B76659" w:rsidRPr="006C22D4" w:rsidRDefault="00F52A99" w:rsidP="00F52A99">
    <w:pPr>
      <w:pStyle w:val="RALs-Authors"/>
      <w:ind w:right="259"/>
      <w:rPr>
        <w:rFonts w:asciiTheme="majorBidi" w:hAnsiTheme="majorBidi" w:cstheme="majorBidi"/>
        <w:i w:val="0"/>
        <w:iCs/>
        <w:sz w:val="28"/>
        <w:szCs w:val="28"/>
      </w:rPr>
    </w:pPr>
    <w:r w:rsidRPr="00EB1B6E">
      <w:rPr>
        <w:rFonts w:asciiTheme="majorBidi" w:hAnsiTheme="majorBidi" w:cstheme="majorBidi"/>
        <w:i w:val="0"/>
        <w:iCs/>
        <w:sz w:val="28"/>
        <w:szCs w:val="28"/>
      </w:rPr>
      <w:t xml:space="preserve">Aram </w:t>
    </w:r>
    <w:r w:rsidRPr="00F52A99">
      <w:rPr>
        <w:rFonts w:asciiTheme="majorBidi" w:hAnsiTheme="majorBidi" w:cstheme="majorBidi"/>
        <w:i w:val="0"/>
        <w:iCs/>
        <w:sz w:val="28"/>
        <w:szCs w:val="28"/>
      </w:rPr>
      <w:t>Pouyan</w:t>
    </w:r>
    <w:r>
      <w:rPr>
        <w:rFonts w:asciiTheme="majorBidi" w:hAnsiTheme="majorBidi" w:cstheme="majorBidi"/>
        <w:i w:val="0"/>
        <w:iCs/>
        <w:sz w:val="28"/>
        <w:szCs w:val="28"/>
        <w:vertAlign w:val="superscript"/>
      </w:rPr>
      <w:t>1</w:t>
    </w:r>
    <w:r w:rsidR="006C22D4" w:rsidRPr="00EE6E84">
      <w:rPr>
        <w:noProof/>
        <w:spacing w:val="-31"/>
        <w:position w:val="5"/>
        <w:sz w:val="32"/>
      </w:rPr>
      <w:drawing>
        <wp:inline distT="0" distB="0" distL="0" distR="0" wp14:anchorId="35ADA5F5" wp14:editId="73382C71">
          <wp:extent cx="151829" cy="151829"/>
          <wp:effectExtent l="0" t="0" r="635" b="635"/>
          <wp:docPr id="7" name="Image 14">
            <a:hlinkClick xmlns:a="http://schemas.openxmlformats.org/drawingml/2006/main" r:id="rId4"/>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0607044" name="Image 14">
                    <a:hlinkClick r:id="rId5"/>
                  </pic:cNvPr>
                  <pic:cNvPicPr/>
                </pic:nvPicPr>
                <pic:blipFill>
                  <a:blip r:embed="rId6" cstate="print"/>
                  <a:stretch>
                    <a:fillRect/>
                  </a:stretch>
                </pic:blipFill>
                <pic:spPr>
                  <a:xfrm>
                    <a:off x="0" y="0"/>
                    <a:ext cx="151829" cy="151829"/>
                  </a:xfrm>
                  <a:prstGeom prst="rect">
                    <a:avLst/>
                  </a:prstGeom>
                </pic:spPr>
              </pic:pic>
            </a:graphicData>
          </a:graphic>
        </wp:inline>
      </w:drawing>
    </w:r>
    <w:r>
      <w:rPr>
        <w:rFonts w:asciiTheme="majorBidi" w:hAnsiTheme="majorBidi" w:cstheme="majorBidi"/>
        <w:i w:val="0"/>
        <w:iCs/>
        <w:sz w:val="28"/>
        <w:szCs w:val="28"/>
      </w:rPr>
      <w:t xml:space="preserve">, </w:t>
    </w:r>
    <w:r w:rsidR="00B76659" w:rsidRPr="00F52A99">
      <w:rPr>
        <w:rFonts w:asciiTheme="majorBidi" w:hAnsiTheme="majorBidi" w:cstheme="majorBidi"/>
        <w:i w:val="0"/>
        <w:iCs/>
        <w:sz w:val="28"/>
        <w:szCs w:val="28"/>
      </w:rPr>
      <w:t>Farnoush</w:t>
    </w:r>
    <w:r w:rsidR="00B76659" w:rsidRPr="00EB1B6E">
      <w:rPr>
        <w:rFonts w:asciiTheme="majorBidi" w:hAnsiTheme="majorBidi" w:cstheme="majorBidi"/>
        <w:i w:val="0"/>
        <w:iCs/>
        <w:sz w:val="28"/>
        <w:szCs w:val="28"/>
      </w:rPr>
      <w:t xml:space="preserve"> Ahangaran</w:t>
    </w:r>
    <w:r>
      <w:rPr>
        <w:rFonts w:asciiTheme="majorBidi" w:hAnsiTheme="majorBidi" w:cstheme="majorBidi"/>
        <w:i w:val="0"/>
        <w:iCs/>
        <w:sz w:val="28"/>
        <w:szCs w:val="28"/>
        <w:vertAlign w:val="superscript"/>
      </w:rPr>
      <w:t>2</w:t>
    </w:r>
    <w:r w:rsidR="00B76659">
      <w:rPr>
        <w:rFonts w:asciiTheme="majorBidi" w:hAnsiTheme="majorBidi" w:cstheme="majorBidi"/>
        <w:i w:val="0"/>
        <w:iCs/>
        <w:sz w:val="28"/>
        <w:szCs w:val="28"/>
        <w:vertAlign w:val="superscript"/>
      </w:rPr>
      <w:t>,</w:t>
    </w:r>
    <w:r w:rsidR="00B76659" w:rsidRPr="00EB1B6E">
      <w:rPr>
        <w:rFonts w:asciiTheme="majorBidi" w:hAnsiTheme="majorBidi" w:cstheme="majorBidi"/>
        <w:i w:val="0"/>
        <w:iCs/>
        <w:sz w:val="28"/>
        <w:szCs w:val="28"/>
        <w:vertAlign w:val="superscript"/>
      </w:rPr>
      <w:t>*</w:t>
    </w:r>
    <w:r w:rsidR="006C22D4" w:rsidRPr="006C22D4">
      <w:rPr>
        <w:noProof/>
        <w:spacing w:val="-31"/>
        <w:position w:val="5"/>
        <w:sz w:val="32"/>
      </w:rPr>
      <w:t xml:space="preserve"> </w:t>
    </w:r>
    <w:bookmarkStart w:id="1" w:name="_GoBack"/>
    <w:r w:rsidR="006C22D4" w:rsidRPr="00EE6E84">
      <w:rPr>
        <w:noProof/>
        <w:spacing w:val="-31"/>
        <w:position w:val="5"/>
        <w:sz w:val="32"/>
      </w:rPr>
      <w:drawing>
        <wp:inline distT="0" distB="0" distL="0" distR="0" wp14:anchorId="22C55E12" wp14:editId="568B1E0D">
          <wp:extent cx="151829" cy="151829"/>
          <wp:effectExtent l="0" t="0" r="635" b="635"/>
          <wp:docPr id="6" name="Image 14">
            <a:hlinkClick xmlns:a="http://schemas.openxmlformats.org/drawingml/2006/main" r:id="rId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0607044" name="Image 14">
                    <a:hlinkClick r:id="rId5"/>
                  </pic:cNvPr>
                  <pic:cNvPicPr/>
                </pic:nvPicPr>
                <pic:blipFill>
                  <a:blip r:embed="rId6" cstate="print"/>
                  <a:stretch>
                    <a:fillRect/>
                  </a:stretch>
                </pic:blipFill>
                <pic:spPr>
                  <a:xfrm>
                    <a:off x="0" y="0"/>
                    <a:ext cx="151829" cy="151829"/>
                  </a:xfrm>
                  <a:prstGeom prst="rect">
                    <a:avLst/>
                  </a:prstGeom>
                </pic:spPr>
              </pic:pic>
            </a:graphicData>
          </a:graphic>
        </wp:inline>
      </w:drawing>
    </w:r>
    <w:bookmarkEnd w:id="1"/>
  </w:p>
  <w:p w14:paraId="6C29ED9E" w14:textId="6875934A" w:rsidR="00B76659" w:rsidRPr="004F016C" w:rsidRDefault="00B76659" w:rsidP="004F016C">
    <w:pPr>
      <w:pStyle w:val="Header"/>
    </w:pPr>
  </w:p>
  <w:p w14:paraId="7C6B4654" w14:textId="497CCC3F" w:rsidR="00B76659" w:rsidRDefault="002F57BF" w:rsidP="00EB1B6E">
    <w:pPr>
      <w:pStyle w:val="Affiliations"/>
      <w:numPr>
        <w:ilvl w:val="0"/>
        <w:numId w:val="0"/>
      </w:numPr>
      <w:ind w:left="115"/>
    </w:pPr>
    <w:r>
      <w:rPr>
        <w:vertAlign w:val="superscript"/>
      </w:rPr>
      <w:t xml:space="preserve">1 </w:t>
    </w:r>
    <w:r w:rsidR="00B76659" w:rsidRPr="00EB1B6E">
      <w:t>English Language and Literature Department, Urmieh University, Pardis Campus, Iran</w:t>
    </w:r>
  </w:p>
  <w:p w14:paraId="072F58DE" w14:textId="43827BAC" w:rsidR="002F57BF" w:rsidRPr="00EB1B6E" w:rsidRDefault="002F57BF" w:rsidP="0023530D">
    <w:pPr>
      <w:pStyle w:val="Affiliations"/>
      <w:numPr>
        <w:ilvl w:val="0"/>
        <w:numId w:val="0"/>
      </w:numPr>
      <w:ind w:left="115"/>
    </w:pPr>
    <w:r>
      <w:rPr>
        <w:vertAlign w:val="superscript"/>
      </w:rPr>
      <w:t xml:space="preserve">2 </w:t>
    </w:r>
    <w:r w:rsidRPr="00EB1B6E">
      <w:t>Department of English Language and Literature, Ur.C., Islami</w:t>
    </w:r>
    <w:r>
      <w:t>c Azad University, Urmia, Iran</w:t>
    </w:r>
  </w:p>
  <w:p w14:paraId="050E7ECF" w14:textId="32FC525D" w:rsidR="00B76659" w:rsidRDefault="00B76659" w:rsidP="004F016C">
    <w:pPr>
      <w:rPr>
        <w:rStyle w:val="CorrespondingChar"/>
      </w:rPr>
    </w:pPr>
  </w:p>
  <w:p w14:paraId="737C1B52" w14:textId="652A6C96" w:rsidR="00B76659" w:rsidRDefault="00B76659" w:rsidP="004F016C">
    <w:pPr>
      <w:rPr>
        <w:rStyle w:val="EmailChar"/>
      </w:rPr>
    </w:pPr>
    <w:r w:rsidRPr="004F016C">
      <w:rPr>
        <w:rStyle w:val="CorrespondingChar"/>
      </w:rPr>
      <w:t>*Corresponding author:</w:t>
    </w:r>
    <w:r w:rsidRPr="004F016C">
      <w:t xml:space="preserve"> </w:t>
    </w:r>
    <w:hyperlink r:id="rId8" w:history="1">
      <w:r>
        <w:rPr>
          <w:rStyle w:val="Hyperlink"/>
        </w:rPr>
        <w:t>farnoush.ahangaran@iau.ac.ir</w:t>
      </w:r>
    </w:hyperlink>
  </w:p>
  <w:p w14:paraId="58AB3287" w14:textId="77777777" w:rsidR="00B76659" w:rsidRPr="004F016C" w:rsidRDefault="00B76659" w:rsidP="004F016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F7C3F"/>
    <w:multiLevelType w:val="hybridMultilevel"/>
    <w:tmpl w:val="A2C04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57531"/>
    <w:multiLevelType w:val="hybridMultilevel"/>
    <w:tmpl w:val="69EC23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8A430D"/>
    <w:multiLevelType w:val="hybridMultilevel"/>
    <w:tmpl w:val="D8E213AC"/>
    <w:lvl w:ilvl="0" w:tplc="041E3266">
      <w:start w:val="1"/>
      <w:numFmt w:val="decimal"/>
      <w:pStyle w:val="Affiliations"/>
      <w:lvlText w:val="%1"/>
      <w:lvlJc w:val="left"/>
      <w:pPr>
        <w:ind w:left="360" w:hanging="360"/>
      </w:pPr>
      <w:rPr>
        <w:rFonts w:asciiTheme="majorHAnsi" w:hAnsiTheme="majorHAnsi" w:cs="Times New Roman" w:hint="default"/>
        <w:b w:val="0"/>
        <w:bCs w:val="0"/>
        <w:i w:val="0"/>
        <w:iCs w:val="0"/>
        <w:caps w:val="0"/>
        <w:strike w:val="0"/>
        <w:dstrike w:val="0"/>
        <w:vanish w:val="0"/>
        <w:spacing w:val="0"/>
        <w:w w:val="100"/>
        <w:position w:val="0"/>
        <w:sz w:val="20"/>
        <w:szCs w:val="20"/>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48441B"/>
    <w:multiLevelType w:val="hybridMultilevel"/>
    <w:tmpl w:val="FCBA0BD6"/>
    <w:lvl w:ilvl="0" w:tplc="87FAE5C2">
      <w:start w:val="1"/>
      <w:numFmt w:val="decimal"/>
      <w:pStyle w:val="References"/>
      <w:lvlText w:val="[%1] "/>
      <w:lvlJc w:val="left"/>
      <w:pPr>
        <w:ind w:left="360" w:hanging="360"/>
      </w:pPr>
      <w:rPr>
        <w:rFonts w:cstheme="majorBidi" w:hint="default"/>
        <w:b w:val="0"/>
        <w:bCs w:val="0"/>
        <w:i w:val="0"/>
        <w:iCs w:val="0"/>
        <w:spacing w:val="0"/>
        <w:w w:val="100"/>
        <w:position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7217ED"/>
    <w:multiLevelType w:val="hybridMultilevel"/>
    <w:tmpl w:val="22684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C41ED5"/>
    <w:multiLevelType w:val="hybridMultilevel"/>
    <w:tmpl w:val="F00ED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A13FC6"/>
    <w:multiLevelType w:val="hybridMultilevel"/>
    <w:tmpl w:val="A4026F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37C41B01"/>
    <w:multiLevelType w:val="hybridMultilevel"/>
    <w:tmpl w:val="49E43FB6"/>
    <w:lvl w:ilvl="0" w:tplc="87A2CAB0">
      <w:start w:val="1"/>
      <w:numFmt w:val="decimal"/>
      <w:lvlText w:val="%1."/>
      <w:lvlJc w:val="left"/>
      <w:pPr>
        <w:ind w:left="720" w:hanging="360"/>
      </w:pPr>
      <w:rPr>
        <w:rFonts w:hint="default"/>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1A0981"/>
    <w:multiLevelType w:val="hybridMultilevel"/>
    <w:tmpl w:val="D884DE7E"/>
    <w:lvl w:ilvl="0" w:tplc="0ACA5920">
      <w:start w:val="1"/>
      <w:numFmt w:val="decimal"/>
      <w:lvlText w:val="%1."/>
      <w:lvlJc w:val="left"/>
      <w:pPr>
        <w:ind w:left="360" w:hanging="360"/>
      </w:pPr>
      <w:rPr>
        <w:rFonts w:hint="default"/>
        <w:b w:val="0"/>
        <w:bCs w:val="0"/>
        <w:i w:val="0"/>
        <w:iCs w:val="0"/>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8A38DD"/>
    <w:multiLevelType w:val="hybridMultilevel"/>
    <w:tmpl w:val="3AE6F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BD4B94"/>
    <w:multiLevelType w:val="hybridMultilevel"/>
    <w:tmpl w:val="A224C4EA"/>
    <w:lvl w:ilvl="0" w:tplc="E048B302">
      <w:start w:val="1"/>
      <w:numFmt w:val="decimal"/>
      <w:lvlText w:val="%1."/>
      <w:lvlJc w:val="left"/>
      <w:pPr>
        <w:ind w:left="720" w:hanging="360"/>
      </w:pPr>
      <w:rPr>
        <w:rFonts w:hint="default"/>
        <w:spacing w:val="0"/>
        <w:w w:val="100"/>
        <w:kern w:val="0"/>
        <w:position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260727"/>
    <w:multiLevelType w:val="hybridMultilevel"/>
    <w:tmpl w:val="272E5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10"/>
  </w:num>
  <w:num w:numId="5">
    <w:abstractNumId w:val="7"/>
  </w:num>
  <w:num w:numId="6">
    <w:abstractNumId w:val="8"/>
  </w:num>
  <w:num w:numId="7">
    <w:abstractNumId w:val="11"/>
  </w:num>
  <w:num w:numId="8">
    <w:abstractNumId w:val="9"/>
  </w:num>
  <w:num w:numId="9">
    <w:abstractNumId w:val="5"/>
  </w:num>
  <w:num w:numId="10">
    <w:abstractNumId w:val="3"/>
  </w:num>
  <w:num w:numId="11">
    <w:abstractNumId w:val="0"/>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6DB"/>
    <w:rsid w:val="000305E0"/>
    <w:rsid w:val="00043495"/>
    <w:rsid w:val="00070EB2"/>
    <w:rsid w:val="00074D0E"/>
    <w:rsid w:val="000756DB"/>
    <w:rsid w:val="000A7FED"/>
    <w:rsid w:val="000C4DF1"/>
    <w:rsid w:val="00153858"/>
    <w:rsid w:val="00170277"/>
    <w:rsid w:val="001750C2"/>
    <w:rsid w:val="00196D1B"/>
    <w:rsid w:val="001A3370"/>
    <w:rsid w:val="001C3811"/>
    <w:rsid w:val="0023530D"/>
    <w:rsid w:val="00261709"/>
    <w:rsid w:val="002640E1"/>
    <w:rsid w:val="00293141"/>
    <w:rsid w:val="002B351E"/>
    <w:rsid w:val="002B4252"/>
    <w:rsid w:val="002F57BF"/>
    <w:rsid w:val="00321B9C"/>
    <w:rsid w:val="00333872"/>
    <w:rsid w:val="00350177"/>
    <w:rsid w:val="00374332"/>
    <w:rsid w:val="00375CA9"/>
    <w:rsid w:val="00381732"/>
    <w:rsid w:val="003A7873"/>
    <w:rsid w:val="003B6A1F"/>
    <w:rsid w:val="003D2F1B"/>
    <w:rsid w:val="003E10DF"/>
    <w:rsid w:val="003E71C0"/>
    <w:rsid w:val="003F5DC8"/>
    <w:rsid w:val="004065E7"/>
    <w:rsid w:val="00434A2D"/>
    <w:rsid w:val="004542CB"/>
    <w:rsid w:val="00472E6C"/>
    <w:rsid w:val="004861D1"/>
    <w:rsid w:val="004A3139"/>
    <w:rsid w:val="004B27C3"/>
    <w:rsid w:val="004D34B3"/>
    <w:rsid w:val="004F016C"/>
    <w:rsid w:val="004F2544"/>
    <w:rsid w:val="00516CCA"/>
    <w:rsid w:val="005403C8"/>
    <w:rsid w:val="005576DB"/>
    <w:rsid w:val="00590BE0"/>
    <w:rsid w:val="00597B91"/>
    <w:rsid w:val="005B4C59"/>
    <w:rsid w:val="00635E4C"/>
    <w:rsid w:val="00672DDE"/>
    <w:rsid w:val="006916B4"/>
    <w:rsid w:val="006A4909"/>
    <w:rsid w:val="006C0069"/>
    <w:rsid w:val="006C22D4"/>
    <w:rsid w:val="006F0EFD"/>
    <w:rsid w:val="00702F4F"/>
    <w:rsid w:val="00725B60"/>
    <w:rsid w:val="00730CEF"/>
    <w:rsid w:val="00733EAE"/>
    <w:rsid w:val="00736E58"/>
    <w:rsid w:val="00740550"/>
    <w:rsid w:val="00756782"/>
    <w:rsid w:val="0076626D"/>
    <w:rsid w:val="00786E29"/>
    <w:rsid w:val="007C5744"/>
    <w:rsid w:val="007E04DA"/>
    <w:rsid w:val="00810730"/>
    <w:rsid w:val="00894291"/>
    <w:rsid w:val="008C5CE8"/>
    <w:rsid w:val="008C6420"/>
    <w:rsid w:val="008E1864"/>
    <w:rsid w:val="008E76F9"/>
    <w:rsid w:val="00907EF0"/>
    <w:rsid w:val="00922DC2"/>
    <w:rsid w:val="00924772"/>
    <w:rsid w:val="0096343C"/>
    <w:rsid w:val="009864C4"/>
    <w:rsid w:val="009A0D89"/>
    <w:rsid w:val="00A128F0"/>
    <w:rsid w:val="00A14517"/>
    <w:rsid w:val="00A1782B"/>
    <w:rsid w:val="00A31500"/>
    <w:rsid w:val="00A426A0"/>
    <w:rsid w:val="00A47927"/>
    <w:rsid w:val="00A61BB6"/>
    <w:rsid w:val="00A756AA"/>
    <w:rsid w:val="00A81F06"/>
    <w:rsid w:val="00AA203D"/>
    <w:rsid w:val="00AD3D2E"/>
    <w:rsid w:val="00AD6696"/>
    <w:rsid w:val="00AE0C18"/>
    <w:rsid w:val="00AE125C"/>
    <w:rsid w:val="00AE3E22"/>
    <w:rsid w:val="00AF2F6E"/>
    <w:rsid w:val="00B220A3"/>
    <w:rsid w:val="00B303DA"/>
    <w:rsid w:val="00B624B2"/>
    <w:rsid w:val="00B71688"/>
    <w:rsid w:val="00B729A5"/>
    <w:rsid w:val="00B76659"/>
    <w:rsid w:val="00B82905"/>
    <w:rsid w:val="00B829BB"/>
    <w:rsid w:val="00B93AC5"/>
    <w:rsid w:val="00C139BD"/>
    <w:rsid w:val="00C211C4"/>
    <w:rsid w:val="00C47878"/>
    <w:rsid w:val="00C529AB"/>
    <w:rsid w:val="00C67B65"/>
    <w:rsid w:val="00C870D4"/>
    <w:rsid w:val="00CA7533"/>
    <w:rsid w:val="00CC32FF"/>
    <w:rsid w:val="00CF084D"/>
    <w:rsid w:val="00D0247F"/>
    <w:rsid w:val="00D35634"/>
    <w:rsid w:val="00D35A1D"/>
    <w:rsid w:val="00D678FA"/>
    <w:rsid w:val="00D71205"/>
    <w:rsid w:val="00DA6E21"/>
    <w:rsid w:val="00DA735D"/>
    <w:rsid w:val="00DD5787"/>
    <w:rsid w:val="00DF7F4D"/>
    <w:rsid w:val="00E1554F"/>
    <w:rsid w:val="00E1619F"/>
    <w:rsid w:val="00E42E30"/>
    <w:rsid w:val="00E45136"/>
    <w:rsid w:val="00E73C30"/>
    <w:rsid w:val="00EB1B6E"/>
    <w:rsid w:val="00EB2576"/>
    <w:rsid w:val="00EB7BF1"/>
    <w:rsid w:val="00EC562C"/>
    <w:rsid w:val="00EC5E4F"/>
    <w:rsid w:val="00ED5175"/>
    <w:rsid w:val="00F11C08"/>
    <w:rsid w:val="00F17309"/>
    <w:rsid w:val="00F205A5"/>
    <w:rsid w:val="00F45037"/>
    <w:rsid w:val="00F52A99"/>
    <w:rsid w:val="00FA258A"/>
    <w:rsid w:val="00FD6A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92D49"/>
  <w15:chartTrackingRefBased/>
  <w15:docId w15:val="{D683F26B-7D46-49CD-AC30-7E7B2A383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4DA"/>
    <w:pPr>
      <w:spacing w:after="0" w:line="240" w:lineRule="auto"/>
      <w:jc w:val="both"/>
    </w:pPr>
    <w:rPr>
      <w:rFonts w:asciiTheme="majorBidi" w:eastAsia="Times New Roman" w:hAnsiTheme="majorBidi" w:cstheme="majorBidi"/>
      <w:bCs/>
      <w:kern w:val="0"/>
      <w:sz w:val="20"/>
      <w:szCs w:val="20"/>
      <w14:ligatures w14:val="none"/>
    </w:rPr>
  </w:style>
  <w:style w:type="paragraph" w:styleId="Heading1">
    <w:name w:val="heading 1"/>
    <w:basedOn w:val="Normal"/>
    <w:next w:val="Normal"/>
    <w:link w:val="Heading1Char"/>
    <w:uiPriority w:val="9"/>
    <w:qFormat/>
    <w:rsid w:val="00434A2D"/>
    <w:pPr>
      <w:jc w:val="center"/>
      <w:outlineLvl w:val="0"/>
    </w:pPr>
    <w:rPr>
      <w:b/>
      <w:bCs w:val="0"/>
      <w:sz w:val="22"/>
      <w:szCs w:val="22"/>
    </w:rPr>
  </w:style>
  <w:style w:type="paragraph" w:styleId="Heading2">
    <w:name w:val="heading 2"/>
    <w:basedOn w:val="Normal"/>
    <w:next w:val="Normal"/>
    <w:link w:val="Heading2Char"/>
    <w:uiPriority w:val="9"/>
    <w:unhideWhenUsed/>
    <w:qFormat/>
    <w:rsid w:val="00434A2D"/>
    <w:pPr>
      <w:outlineLvl w:val="1"/>
    </w:pPr>
    <w:rPr>
      <w:b/>
      <w:bCs w:val="0"/>
    </w:rPr>
  </w:style>
  <w:style w:type="paragraph" w:styleId="Heading3">
    <w:name w:val="heading 3"/>
    <w:basedOn w:val="Normal"/>
    <w:next w:val="Normal"/>
    <w:link w:val="Heading3Char"/>
    <w:uiPriority w:val="9"/>
    <w:unhideWhenUsed/>
    <w:qFormat/>
    <w:rsid w:val="00434A2D"/>
    <w:pPr>
      <w:outlineLvl w:val="2"/>
    </w:pPr>
    <w:rPr>
      <w:i/>
    </w:rPr>
  </w:style>
  <w:style w:type="paragraph" w:styleId="Heading4">
    <w:name w:val="heading 4"/>
    <w:basedOn w:val="Normal"/>
    <w:next w:val="Normal"/>
    <w:link w:val="Heading4Char"/>
    <w:uiPriority w:val="9"/>
    <w:semiHidden/>
    <w:unhideWhenUsed/>
    <w:qFormat/>
    <w:rsid w:val="005576DB"/>
    <w:pPr>
      <w:keepNext/>
      <w:keepLines/>
      <w:spacing w:before="80" w:after="40"/>
      <w:outlineLvl w:val="3"/>
    </w:pPr>
    <w:rPr>
      <w:rFonts w:eastAsiaTheme="majorEastAsia"/>
      <w:i/>
      <w:iCs/>
      <w:color w:val="2F5496" w:themeColor="accent1" w:themeShade="BF"/>
    </w:rPr>
  </w:style>
  <w:style w:type="paragraph" w:styleId="Heading5">
    <w:name w:val="heading 5"/>
    <w:basedOn w:val="Normal"/>
    <w:next w:val="Normal"/>
    <w:link w:val="Heading5Char"/>
    <w:uiPriority w:val="9"/>
    <w:semiHidden/>
    <w:unhideWhenUsed/>
    <w:qFormat/>
    <w:rsid w:val="005576DB"/>
    <w:pPr>
      <w:keepNext/>
      <w:keepLines/>
      <w:spacing w:before="80" w:after="40"/>
      <w:outlineLvl w:val="4"/>
    </w:pPr>
    <w:rPr>
      <w:rFonts w:eastAsiaTheme="majorEastAsia"/>
      <w:color w:val="2F5496" w:themeColor="accent1" w:themeShade="BF"/>
    </w:rPr>
  </w:style>
  <w:style w:type="paragraph" w:styleId="Heading6">
    <w:name w:val="heading 6"/>
    <w:basedOn w:val="Normal"/>
    <w:next w:val="Normal"/>
    <w:link w:val="Heading6Char"/>
    <w:uiPriority w:val="9"/>
    <w:semiHidden/>
    <w:unhideWhenUsed/>
    <w:qFormat/>
    <w:rsid w:val="005576DB"/>
    <w:pPr>
      <w:keepNext/>
      <w:keepLines/>
      <w:spacing w:before="40"/>
      <w:outlineLvl w:val="5"/>
    </w:pPr>
    <w:rPr>
      <w:rFonts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5576DB"/>
    <w:pPr>
      <w:keepNext/>
      <w:keepLines/>
      <w:spacing w:before="40"/>
      <w:outlineLvl w:val="6"/>
    </w:pPr>
    <w:rPr>
      <w:rFonts w:eastAsiaTheme="majorEastAsia"/>
      <w:color w:val="595959" w:themeColor="text1" w:themeTint="A6"/>
    </w:rPr>
  </w:style>
  <w:style w:type="paragraph" w:styleId="Heading8">
    <w:name w:val="heading 8"/>
    <w:basedOn w:val="Normal"/>
    <w:next w:val="Normal"/>
    <w:link w:val="Heading8Char"/>
    <w:uiPriority w:val="9"/>
    <w:semiHidden/>
    <w:unhideWhenUsed/>
    <w:qFormat/>
    <w:rsid w:val="005576DB"/>
    <w:pPr>
      <w:keepNext/>
      <w:keepLines/>
      <w:outlineLvl w:val="7"/>
    </w:pPr>
    <w:rPr>
      <w:rFonts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5576DB"/>
    <w:pPr>
      <w:keepNext/>
      <w:keepLines/>
      <w:outlineLvl w:val="8"/>
    </w:pPr>
    <w:rPr>
      <w:rFonts w:eastAsiaTheme="majorEastAsia"/>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4A2D"/>
    <w:rPr>
      <w:rFonts w:asciiTheme="majorBidi" w:eastAsia="Times New Roman" w:hAnsiTheme="majorBidi" w:cstheme="majorBidi"/>
      <w:b/>
      <w:kern w:val="0"/>
      <w:sz w:val="22"/>
      <w:szCs w:val="22"/>
      <w14:ligatures w14:val="none"/>
    </w:rPr>
  </w:style>
  <w:style w:type="character" w:customStyle="1" w:styleId="Heading2Char">
    <w:name w:val="Heading 2 Char"/>
    <w:basedOn w:val="DefaultParagraphFont"/>
    <w:link w:val="Heading2"/>
    <w:uiPriority w:val="9"/>
    <w:rsid w:val="00434A2D"/>
    <w:rPr>
      <w:rFonts w:asciiTheme="majorBidi" w:eastAsia="Times New Roman" w:hAnsiTheme="majorBidi" w:cstheme="majorBidi"/>
      <w:b/>
      <w:kern w:val="0"/>
      <w:sz w:val="20"/>
      <w:szCs w:val="20"/>
      <w14:ligatures w14:val="none"/>
    </w:rPr>
  </w:style>
  <w:style w:type="character" w:customStyle="1" w:styleId="Heading3Char">
    <w:name w:val="Heading 3 Char"/>
    <w:basedOn w:val="DefaultParagraphFont"/>
    <w:link w:val="Heading3"/>
    <w:uiPriority w:val="9"/>
    <w:rsid w:val="00434A2D"/>
    <w:rPr>
      <w:rFonts w:asciiTheme="majorBidi" w:eastAsia="Times New Roman" w:hAnsiTheme="majorBidi" w:cstheme="majorBidi"/>
      <w:bCs/>
      <w:i/>
      <w:kern w:val="0"/>
      <w:sz w:val="20"/>
      <w:szCs w:val="20"/>
      <w14:ligatures w14:val="none"/>
    </w:rPr>
  </w:style>
  <w:style w:type="character" w:customStyle="1" w:styleId="Heading4Char">
    <w:name w:val="Heading 4 Char"/>
    <w:basedOn w:val="DefaultParagraphFont"/>
    <w:link w:val="Heading4"/>
    <w:uiPriority w:val="9"/>
    <w:semiHidden/>
    <w:rsid w:val="005576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76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76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76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76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76DB"/>
    <w:rPr>
      <w:rFonts w:eastAsiaTheme="majorEastAsia" w:cstheme="majorBidi"/>
      <w:color w:val="272727" w:themeColor="text1" w:themeTint="D8"/>
    </w:rPr>
  </w:style>
  <w:style w:type="paragraph" w:styleId="Title">
    <w:name w:val="Title"/>
    <w:basedOn w:val="Header"/>
    <w:next w:val="Normal"/>
    <w:link w:val="TitleChar"/>
    <w:uiPriority w:val="10"/>
    <w:qFormat/>
    <w:rsid w:val="00597B91"/>
    <w:pPr>
      <w:contextualSpacing/>
      <w:jc w:val="center"/>
    </w:pPr>
    <w:rPr>
      <w:b/>
      <w:bCs w:val="0"/>
      <w:sz w:val="44"/>
      <w:szCs w:val="44"/>
    </w:rPr>
  </w:style>
  <w:style w:type="character" w:customStyle="1" w:styleId="TitleChar">
    <w:name w:val="Title Char"/>
    <w:basedOn w:val="DefaultParagraphFont"/>
    <w:link w:val="Title"/>
    <w:uiPriority w:val="10"/>
    <w:rsid w:val="00597B91"/>
    <w:rPr>
      <w:rFonts w:asciiTheme="majorBidi" w:hAnsiTheme="majorBidi" w:cstheme="majorBidi"/>
      <w:b/>
      <w:bCs/>
      <w:sz w:val="44"/>
      <w:szCs w:val="44"/>
    </w:rPr>
  </w:style>
  <w:style w:type="paragraph" w:styleId="Subtitle">
    <w:name w:val="Subtitle"/>
    <w:basedOn w:val="Normal"/>
    <w:next w:val="Normal"/>
    <w:link w:val="SubtitleChar"/>
    <w:uiPriority w:val="11"/>
    <w:qFormat/>
    <w:rsid w:val="005576DB"/>
    <w:pPr>
      <w:numPr>
        <w:ilvl w:val="1"/>
      </w:numPr>
    </w:pPr>
    <w:rPr>
      <w:rFonts w:eastAsiaTheme="majorEastAsia"/>
      <w:color w:val="595959" w:themeColor="text1" w:themeTint="A6"/>
      <w:spacing w:val="15"/>
      <w:sz w:val="28"/>
      <w:szCs w:val="28"/>
    </w:rPr>
  </w:style>
  <w:style w:type="character" w:customStyle="1" w:styleId="SubtitleChar">
    <w:name w:val="Subtitle Char"/>
    <w:basedOn w:val="DefaultParagraphFont"/>
    <w:link w:val="Subtitle"/>
    <w:uiPriority w:val="11"/>
    <w:rsid w:val="005576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76DB"/>
    <w:pPr>
      <w:spacing w:before="160"/>
      <w:jc w:val="center"/>
    </w:pPr>
    <w:rPr>
      <w:i/>
      <w:iCs/>
      <w:color w:val="404040" w:themeColor="text1" w:themeTint="BF"/>
    </w:rPr>
  </w:style>
  <w:style w:type="character" w:customStyle="1" w:styleId="QuoteChar">
    <w:name w:val="Quote Char"/>
    <w:basedOn w:val="DefaultParagraphFont"/>
    <w:link w:val="Quote"/>
    <w:uiPriority w:val="29"/>
    <w:rsid w:val="005576DB"/>
    <w:rPr>
      <w:i/>
      <w:iCs/>
      <w:color w:val="404040" w:themeColor="text1" w:themeTint="BF"/>
    </w:rPr>
  </w:style>
  <w:style w:type="paragraph" w:styleId="ListParagraph">
    <w:name w:val="List Paragraph"/>
    <w:basedOn w:val="Normal"/>
    <w:link w:val="ListParagraphChar"/>
    <w:uiPriority w:val="34"/>
    <w:qFormat/>
    <w:rsid w:val="00321B9C"/>
    <w:pPr>
      <w:ind w:left="173" w:hanging="173"/>
      <w:contextualSpacing/>
    </w:pPr>
  </w:style>
  <w:style w:type="character" w:styleId="IntenseEmphasis">
    <w:name w:val="Intense Emphasis"/>
    <w:basedOn w:val="DefaultParagraphFont"/>
    <w:uiPriority w:val="21"/>
    <w:qFormat/>
    <w:rsid w:val="005576DB"/>
    <w:rPr>
      <w:i/>
      <w:iCs/>
      <w:color w:val="2F5496" w:themeColor="accent1" w:themeShade="BF"/>
    </w:rPr>
  </w:style>
  <w:style w:type="paragraph" w:styleId="IntenseQuote">
    <w:name w:val="Intense Quote"/>
    <w:basedOn w:val="Normal"/>
    <w:next w:val="Normal"/>
    <w:link w:val="IntenseQuoteChar"/>
    <w:uiPriority w:val="30"/>
    <w:qFormat/>
    <w:rsid w:val="005576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76DB"/>
    <w:rPr>
      <w:i/>
      <w:iCs/>
      <w:color w:val="2F5496" w:themeColor="accent1" w:themeShade="BF"/>
    </w:rPr>
  </w:style>
  <w:style w:type="character" w:styleId="IntenseReference">
    <w:name w:val="Intense Reference"/>
    <w:basedOn w:val="DefaultParagraphFont"/>
    <w:uiPriority w:val="32"/>
    <w:qFormat/>
    <w:rsid w:val="005576DB"/>
    <w:rPr>
      <w:b/>
      <w:bCs/>
      <w:smallCaps/>
      <w:color w:val="2F5496" w:themeColor="accent1" w:themeShade="BF"/>
      <w:spacing w:val="5"/>
    </w:rPr>
  </w:style>
  <w:style w:type="paragraph" w:styleId="Header">
    <w:name w:val="header"/>
    <w:basedOn w:val="Normal"/>
    <w:link w:val="HeaderChar"/>
    <w:uiPriority w:val="99"/>
    <w:unhideWhenUsed/>
    <w:rsid w:val="005576DB"/>
    <w:pPr>
      <w:tabs>
        <w:tab w:val="center" w:pos="4680"/>
        <w:tab w:val="right" w:pos="9360"/>
      </w:tabs>
    </w:pPr>
  </w:style>
  <w:style w:type="character" w:customStyle="1" w:styleId="HeaderChar">
    <w:name w:val="Header Char"/>
    <w:basedOn w:val="DefaultParagraphFont"/>
    <w:link w:val="Header"/>
    <w:uiPriority w:val="99"/>
    <w:rsid w:val="005576DB"/>
  </w:style>
  <w:style w:type="paragraph" w:styleId="Footer">
    <w:name w:val="footer"/>
    <w:basedOn w:val="Normal"/>
    <w:link w:val="FooterChar"/>
    <w:uiPriority w:val="99"/>
    <w:unhideWhenUsed/>
    <w:qFormat/>
    <w:rsid w:val="005576DB"/>
    <w:pPr>
      <w:tabs>
        <w:tab w:val="center" w:pos="4680"/>
        <w:tab w:val="right" w:pos="9360"/>
      </w:tabs>
    </w:pPr>
  </w:style>
  <w:style w:type="character" w:customStyle="1" w:styleId="FooterChar">
    <w:name w:val="Footer Char"/>
    <w:basedOn w:val="DefaultParagraphFont"/>
    <w:link w:val="Footer"/>
    <w:uiPriority w:val="99"/>
    <w:qFormat/>
    <w:rsid w:val="005576DB"/>
  </w:style>
  <w:style w:type="character" w:styleId="Hyperlink">
    <w:name w:val="Hyperlink"/>
    <w:basedOn w:val="DefaultParagraphFont"/>
    <w:uiPriority w:val="99"/>
    <w:unhideWhenUsed/>
    <w:qFormat/>
    <w:rsid w:val="00070EB2"/>
    <w:rPr>
      <w:color w:val="0563C1" w:themeColor="hyperlink"/>
      <w:u w:val="none"/>
    </w:rPr>
  </w:style>
  <w:style w:type="character" w:customStyle="1" w:styleId="UnresolvedMention">
    <w:name w:val="Unresolved Mention"/>
    <w:basedOn w:val="DefaultParagraphFont"/>
    <w:uiPriority w:val="99"/>
    <w:semiHidden/>
    <w:unhideWhenUsed/>
    <w:rsid w:val="005576DB"/>
    <w:rPr>
      <w:color w:val="605E5C"/>
      <w:shd w:val="clear" w:color="auto" w:fill="E1DFDD"/>
    </w:rPr>
  </w:style>
  <w:style w:type="paragraph" w:customStyle="1" w:styleId="Volume">
    <w:name w:val="Volume"/>
    <w:basedOn w:val="Normal"/>
    <w:qFormat/>
    <w:rsid w:val="00597B91"/>
    <w:pPr>
      <w:contextualSpacing/>
      <w:jc w:val="center"/>
    </w:pPr>
    <w:rPr>
      <w:color w:val="000000" w:themeColor="text1"/>
    </w:rPr>
  </w:style>
  <w:style w:type="paragraph" w:customStyle="1" w:styleId="JournalName">
    <w:name w:val="JournalName"/>
    <w:basedOn w:val="Header"/>
    <w:link w:val="JournalNameChar"/>
    <w:qFormat/>
    <w:rsid w:val="00597B91"/>
    <w:pPr>
      <w:contextualSpacing/>
      <w:jc w:val="center"/>
    </w:pPr>
    <w:rPr>
      <w:color w:val="000000" w:themeColor="text1"/>
      <w:sz w:val="28"/>
      <w:szCs w:val="28"/>
    </w:rPr>
  </w:style>
  <w:style w:type="character" w:customStyle="1" w:styleId="JournalNameChar">
    <w:name w:val="JournalName Char"/>
    <w:basedOn w:val="HeaderChar"/>
    <w:link w:val="JournalName"/>
    <w:rsid w:val="00597B91"/>
    <w:rPr>
      <w:rFonts w:asciiTheme="majorBidi" w:hAnsiTheme="majorBidi" w:cstheme="majorBidi"/>
      <w:color w:val="000000" w:themeColor="text1"/>
      <w:sz w:val="28"/>
      <w:szCs w:val="28"/>
    </w:rPr>
  </w:style>
  <w:style w:type="paragraph" w:customStyle="1" w:styleId="Info">
    <w:name w:val="Info"/>
    <w:basedOn w:val="Header"/>
    <w:link w:val="InfoChar"/>
    <w:qFormat/>
    <w:rsid w:val="008E1864"/>
    <w:pPr>
      <w:contextualSpacing/>
      <w:jc w:val="center"/>
    </w:pPr>
    <w:rPr>
      <w:color w:val="0000FF"/>
      <w:sz w:val="18"/>
      <w:szCs w:val="18"/>
    </w:rPr>
  </w:style>
  <w:style w:type="character" w:customStyle="1" w:styleId="InfoChar">
    <w:name w:val="Info Char"/>
    <w:basedOn w:val="HeaderChar"/>
    <w:link w:val="Info"/>
    <w:rsid w:val="008E1864"/>
    <w:rPr>
      <w:rFonts w:asciiTheme="majorBidi" w:eastAsia="Times New Roman" w:hAnsiTheme="majorBidi" w:cstheme="majorBidi"/>
      <w:bCs/>
      <w:color w:val="0000FF"/>
      <w:kern w:val="0"/>
      <w:sz w:val="18"/>
      <w:szCs w:val="18"/>
      <w14:ligatures w14:val="none"/>
    </w:rPr>
  </w:style>
  <w:style w:type="paragraph" w:customStyle="1" w:styleId="Authors">
    <w:name w:val="Authors"/>
    <w:basedOn w:val="Normal"/>
    <w:qFormat/>
    <w:rsid w:val="00B624B2"/>
    <w:pPr>
      <w:contextualSpacing/>
      <w:jc w:val="center"/>
    </w:pPr>
    <w:rPr>
      <w:color w:val="000000" w:themeColor="text1"/>
      <w:sz w:val="28"/>
    </w:rPr>
  </w:style>
  <w:style w:type="paragraph" w:customStyle="1" w:styleId="Affiliations">
    <w:name w:val="Affiliations"/>
    <w:basedOn w:val="Normal"/>
    <w:link w:val="AffiliationsChar"/>
    <w:qFormat/>
    <w:rsid w:val="004F016C"/>
    <w:pPr>
      <w:numPr>
        <w:numId w:val="1"/>
      </w:numPr>
      <w:contextualSpacing/>
    </w:pPr>
    <w:rPr>
      <w:i/>
      <w:color w:val="000000" w:themeColor="text1"/>
    </w:rPr>
  </w:style>
  <w:style w:type="character" w:customStyle="1" w:styleId="AffiliationsChar">
    <w:name w:val="Affiliations Char"/>
    <w:basedOn w:val="DefaultParagraphFont"/>
    <w:link w:val="Affiliations"/>
    <w:rsid w:val="004F016C"/>
    <w:rPr>
      <w:rFonts w:asciiTheme="majorBidi" w:hAnsiTheme="majorBidi"/>
      <w:i/>
      <w:color w:val="000000" w:themeColor="text1"/>
      <w:sz w:val="20"/>
    </w:rPr>
  </w:style>
  <w:style w:type="paragraph" w:customStyle="1" w:styleId="Corresponding">
    <w:name w:val="Corresponding"/>
    <w:basedOn w:val="Normal"/>
    <w:link w:val="CorrespondingChar"/>
    <w:qFormat/>
    <w:rsid w:val="004F016C"/>
    <w:pPr>
      <w:contextualSpacing/>
    </w:pPr>
    <w:rPr>
      <w:b/>
      <w:bCs w:val="0"/>
    </w:rPr>
  </w:style>
  <w:style w:type="character" w:customStyle="1" w:styleId="CorrespondingChar">
    <w:name w:val="Corresponding Char"/>
    <w:basedOn w:val="DefaultParagraphFont"/>
    <w:link w:val="Corresponding"/>
    <w:rsid w:val="004F016C"/>
    <w:rPr>
      <w:rFonts w:asciiTheme="majorBidi" w:hAnsiTheme="majorBidi" w:cstheme="majorBidi"/>
      <w:b/>
      <w:bCs/>
      <w:sz w:val="20"/>
      <w:szCs w:val="20"/>
    </w:rPr>
  </w:style>
  <w:style w:type="paragraph" w:customStyle="1" w:styleId="Email">
    <w:name w:val="Email"/>
    <w:basedOn w:val="Normal"/>
    <w:link w:val="EmailChar"/>
    <w:qFormat/>
    <w:rsid w:val="008E1864"/>
    <w:rPr>
      <w:color w:val="0000FF"/>
    </w:rPr>
  </w:style>
  <w:style w:type="character" w:customStyle="1" w:styleId="EmailChar">
    <w:name w:val="Email Char"/>
    <w:basedOn w:val="DefaultParagraphFont"/>
    <w:link w:val="Email"/>
    <w:rsid w:val="008E1864"/>
    <w:rPr>
      <w:rFonts w:asciiTheme="majorBidi" w:eastAsia="Times New Roman" w:hAnsiTheme="majorBidi" w:cstheme="majorBidi"/>
      <w:bCs/>
      <w:color w:val="0000FF"/>
      <w:kern w:val="0"/>
      <w:sz w:val="20"/>
      <w:szCs w:val="20"/>
      <w14:ligatures w14:val="none"/>
    </w:rPr>
  </w:style>
  <w:style w:type="paragraph" w:styleId="NormalWeb">
    <w:name w:val="Normal (Web)"/>
    <w:basedOn w:val="Normal"/>
    <w:link w:val="NormalWebChar"/>
    <w:uiPriority w:val="99"/>
    <w:unhideWhenUsed/>
    <w:qFormat/>
    <w:rsid w:val="00D71205"/>
    <w:pPr>
      <w:spacing w:before="100" w:beforeAutospacing="1" w:after="100" w:afterAutospacing="1"/>
    </w:pPr>
  </w:style>
  <w:style w:type="table" w:styleId="TableGrid">
    <w:name w:val="Table Grid"/>
    <w:basedOn w:val="TableNormal"/>
    <w:uiPriority w:val="39"/>
    <w:qFormat/>
    <w:rsid w:val="00D71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basedOn w:val="DefaultParagraphFont"/>
    <w:link w:val="NormalWeb"/>
    <w:uiPriority w:val="99"/>
    <w:rsid w:val="00D71205"/>
    <w:rPr>
      <w:rFonts w:asciiTheme="majorBidi" w:eastAsia="Times New Roman" w:hAnsiTheme="majorBidi" w:cstheme="majorBidi"/>
      <w:bCs/>
      <w:kern w:val="0"/>
      <w:sz w:val="20"/>
      <w:szCs w:val="20"/>
      <w14:ligatures w14:val="none"/>
    </w:rPr>
  </w:style>
  <w:style w:type="paragraph" w:customStyle="1" w:styleId="AbstractHeading">
    <w:name w:val="AbstractHeading"/>
    <w:basedOn w:val="NormalWeb"/>
    <w:link w:val="AbstractHeadingChar"/>
    <w:qFormat/>
    <w:rsid w:val="00D71205"/>
    <w:pPr>
      <w:spacing w:before="0" w:beforeAutospacing="0" w:after="0" w:afterAutospacing="0"/>
    </w:pPr>
    <w:rPr>
      <w:b/>
      <w:iCs/>
    </w:rPr>
  </w:style>
  <w:style w:type="character" w:customStyle="1" w:styleId="AbstractHeadingChar">
    <w:name w:val="AbstractHeading Char"/>
    <w:basedOn w:val="NormalWebChar"/>
    <w:link w:val="AbstractHeading"/>
    <w:rsid w:val="00D71205"/>
    <w:rPr>
      <w:rFonts w:asciiTheme="majorBidi" w:eastAsia="Times New Roman" w:hAnsiTheme="majorBidi" w:cstheme="majorBidi"/>
      <w:b/>
      <w:bCs/>
      <w:iCs/>
      <w:kern w:val="0"/>
      <w:sz w:val="20"/>
      <w:szCs w:val="20"/>
      <w14:ligatures w14:val="none"/>
    </w:rPr>
  </w:style>
  <w:style w:type="paragraph" w:customStyle="1" w:styleId="Abstract">
    <w:name w:val="Abstract"/>
    <w:basedOn w:val="Normal"/>
    <w:link w:val="AbstractChar"/>
    <w:qFormat/>
    <w:rsid w:val="00D71205"/>
  </w:style>
  <w:style w:type="character" w:customStyle="1" w:styleId="AbstractChar">
    <w:name w:val="Abstract Char"/>
    <w:basedOn w:val="DefaultParagraphFont"/>
    <w:link w:val="Abstract"/>
    <w:rsid w:val="00D71205"/>
    <w:rPr>
      <w:rFonts w:asciiTheme="majorBidi" w:eastAsia="Times New Roman" w:hAnsiTheme="majorBidi" w:cstheme="majorBidi"/>
      <w:bCs/>
      <w:kern w:val="0"/>
      <w:sz w:val="20"/>
      <w:szCs w:val="20"/>
      <w14:ligatures w14:val="none"/>
    </w:rPr>
  </w:style>
  <w:style w:type="paragraph" w:customStyle="1" w:styleId="Dates">
    <w:name w:val="Dates"/>
    <w:basedOn w:val="NormalWeb"/>
    <w:link w:val="DatesChar"/>
    <w:qFormat/>
    <w:rsid w:val="00D71205"/>
    <w:pPr>
      <w:spacing w:before="0" w:beforeAutospacing="0" w:after="0" w:afterAutospacing="0"/>
    </w:pPr>
    <w:rPr>
      <w:iCs/>
      <w:sz w:val="16"/>
      <w:szCs w:val="16"/>
    </w:rPr>
  </w:style>
  <w:style w:type="character" w:customStyle="1" w:styleId="DatesChar">
    <w:name w:val="Dates Char"/>
    <w:basedOn w:val="NormalWebChar"/>
    <w:link w:val="Dates"/>
    <w:rsid w:val="00D71205"/>
    <w:rPr>
      <w:rFonts w:asciiTheme="majorBidi" w:eastAsia="Times New Roman" w:hAnsiTheme="majorBidi" w:cstheme="majorBidi"/>
      <w:bCs/>
      <w:iCs/>
      <w:kern w:val="0"/>
      <w:sz w:val="16"/>
      <w:szCs w:val="16"/>
      <w14:ligatures w14:val="none"/>
    </w:rPr>
  </w:style>
  <w:style w:type="paragraph" w:customStyle="1" w:styleId="Terms">
    <w:name w:val="Terms"/>
    <w:basedOn w:val="AbstractHeading"/>
    <w:link w:val="TermsChar"/>
    <w:qFormat/>
    <w:rsid w:val="008E1864"/>
    <w:rPr>
      <w:b w:val="0"/>
      <w:bCs w:val="0"/>
      <w:sz w:val="11"/>
      <w:szCs w:val="11"/>
    </w:rPr>
  </w:style>
  <w:style w:type="character" w:customStyle="1" w:styleId="TermsChar">
    <w:name w:val="Terms Char"/>
    <w:basedOn w:val="AbstractHeadingChar"/>
    <w:link w:val="Terms"/>
    <w:rsid w:val="008E1864"/>
    <w:rPr>
      <w:rFonts w:asciiTheme="majorBidi" w:eastAsia="Times New Roman" w:hAnsiTheme="majorBidi" w:cstheme="majorBidi"/>
      <w:b w:val="0"/>
      <w:bCs w:val="0"/>
      <w:iCs/>
      <w:kern w:val="0"/>
      <w:sz w:val="11"/>
      <w:szCs w:val="11"/>
      <w14:ligatures w14:val="none"/>
    </w:rPr>
  </w:style>
  <w:style w:type="paragraph" w:customStyle="1" w:styleId="CiteHeading">
    <w:name w:val="CiteHeading"/>
    <w:basedOn w:val="Normal"/>
    <w:link w:val="CiteHeadingChar"/>
    <w:qFormat/>
    <w:rsid w:val="004A3139"/>
    <w:rPr>
      <w:b/>
    </w:rPr>
  </w:style>
  <w:style w:type="character" w:customStyle="1" w:styleId="CiteHeadingChar">
    <w:name w:val="CiteHeading Char"/>
    <w:basedOn w:val="DefaultParagraphFont"/>
    <w:link w:val="CiteHeading"/>
    <w:rsid w:val="004A3139"/>
    <w:rPr>
      <w:rFonts w:asciiTheme="majorBidi" w:eastAsia="Times New Roman" w:hAnsiTheme="majorBidi" w:cstheme="majorBidi"/>
      <w:b/>
      <w:bCs/>
      <w:kern w:val="0"/>
      <w:sz w:val="20"/>
      <w:szCs w:val="20"/>
      <w14:ligatures w14:val="none"/>
    </w:rPr>
  </w:style>
  <w:style w:type="paragraph" w:customStyle="1" w:styleId="Cite">
    <w:name w:val="Cite"/>
    <w:basedOn w:val="Normal"/>
    <w:link w:val="CiteChar"/>
    <w:qFormat/>
    <w:rsid w:val="004A3139"/>
  </w:style>
  <w:style w:type="character" w:customStyle="1" w:styleId="CiteChar">
    <w:name w:val="Cite Char"/>
    <w:basedOn w:val="DefaultParagraphFont"/>
    <w:link w:val="Cite"/>
    <w:rsid w:val="004A3139"/>
    <w:rPr>
      <w:rFonts w:asciiTheme="majorBidi" w:eastAsia="Times New Roman" w:hAnsiTheme="majorBidi" w:cstheme="majorBidi"/>
      <w:bCs/>
      <w:kern w:val="0"/>
      <w:sz w:val="20"/>
      <w:szCs w:val="20"/>
      <w14:ligatures w14:val="none"/>
    </w:rPr>
  </w:style>
  <w:style w:type="paragraph" w:customStyle="1" w:styleId="CiteDoi">
    <w:name w:val="CiteDoi"/>
    <w:basedOn w:val="Normal"/>
    <w:link w:val="CiteDoiChar"/>
    <w:qFormat/>
    <w:rsid w:val="004A3139"/>
    <w:rPr>
      <w:color w:val="0000FF"/>
    </w:rPr>
  </w:style>
  <w:style w:type="character" w:customStyle="1" w:styleId="CiteDoiChar">
    <w:name w:val="CiteDoi Char"/>
    <w:basedOn w:val="DefaultParagraphFont"/>
    <w:link w:val="CiteDoi"/>
    <w:rsid w:val="004A3139"/>
    <w:rPr>
      <w:rFonts w:asciiTheme="majorBidi" w:eastAsia="Times New Roman" w:hAnsiTheme="majorBidi" w:cstheme="majorBidi"/>
      <w:bCs/>
      <w:color w:val="0000FF"/>
      <w:kern w:val="0"/>
      <w:sz w:val="20"/>
      <w:szCs w:val="20"/>
      <w14:ligatures w14:val="none"/>
    </w:rPr>
  </w:style>
  <w:style w:type="table" w:customStyle="1" w:styleId="TableGridLight1">
    <w:name w:val="Table Grid Light1"/>
    <w:basedOn w:val="TableNormal"/>
    <w:uiPriority w:val="40"/>
    <w:rsid w:val="001750C2"/>
    <w:pPr>
      <w:spacing w:after="0" w:line="240" w:lineRule="auto"/>
    </w:pPr>
    <w:rPr>
      <w:rFonts w:asciiTheme="majorBidi" w:eastAsia="Calibri" w:hAnsiTheme="majorBidi" w:cs="Arial"/>
      <w:kern w:val="0"/>
      <w:sz w:val="22"/>
      <w:szCs w:val="22"/>
      <w14:ligatures w14:val="none"/>
    </w:rPr>
    <w:tblPr>
      <w:tblBorders>
        <w:top w:val="single" w:sz="4" w:space="0" w:color="auto"/>
        <w:bottom w:val="single" w:sz="4" w:space="0" w:color="auto"/>
      </w:tblBorders>
    </w:tblPr>
    <w:tcPr>
      <w:vAlign w:val="center"/>
    </w:tcPr>
  </w:style>
  <w:style w:type="paragraph" w:customStyle="1" w:styleId="TableFigureBold">
    <w:name w:val="TableFigureBold"/>
    <w:basedOn w:val="Normal"/>
    <w:link w:val="TableFigureBoldChar"/>
    <w:qFormat/>
    <w:rsid w:val="00907EF0"/>
    <w:pPr>
      <w:jc w:val="center"/>
    </w:pPr>
    <w:rPr>
      <w:b/>
      <w:sz w:val="16"/>
    </w:rPr>
  </w:style>
  <w:style w:type="character" w:customStyle="1" w:styleId="TableFigureBoldChar">
    <w:name w:val="TableFigureBold Char"/>
    <w:basedOn w:val="DefaultParagraphFont"/>
    <w:link w:val="TableFigureBold"/>
    <w:rsid w:val="00907EF0"/>
    <w:rPr>
      <w:rFonts w:asciiTheme="majorBidi" w:eastAsia="Times New Roman" w:hAnsiTheme="majorBidi" w:cstheme="majorBidi"/>
      <w:b/>
      <w:bCs/>
      <w:kern w:val="0"/>
      <w:sz w:val="16"/>
      <w:szCs w:val="20"/>
      <w14:ligatures w14:val="none"/>
    </w:rPr>
  </w:style>
  <w:style w:type="paragraph" w:customStyle="1" w:styleId="TableFigure">
    <w:name w:val="TableFigure"/>
    <w:basedOn w:val="Normal"/>
    <w:qFormat/>
    <w:rsid w:val="00321B9C"/>
    <w:pPr>
      <w:jc w:val="center"/>
    </w:pPr>
    <w:rPr>
      <w:sz w:val="16"/>
      <w:szCs w:val="16"/>
      <w:lang w:val="en"/>
    </w:rPr>
  </w:style>
  <w:style w:type="paragraph" w:customStyle="1" w:styleId="TableBody">
    <w:name w:val="TableBody"/>
    <w:basedOn w:val="Normal"/>
    <w:link w:val="TableBodyChar"/>
    <w:qFormat/>
    <w:rsid w:val="00321B9C"/>
    <w:rPr>
      <w:rFonts w:eastAsia="MS Mincho"/>
    </w:rPr>
  </w:style>
  <w:style w:type="character" w:customStyle="1" w:styleId="TableBodyChar">
    <w:name w:val="TableBody Char"/>
    <w:basedOn w:val="DefaultParagraphFont"/>
    <w:link w:val="TableBody"/>
    <w:rsid w:val="00321B9C"/>
    <w:rPr>
      <w:rFonts w:asciiTheme="majorBidi" w:eastAsia="MS Mincho" w:hAnsiTheme="majorBidi" w:cstheme="majorBidi"/>
      <w:bCs/>
      <w:kern w:val="0"/>
      <w:sz w:val="20"/>
      <w:szCs w:val="20"/>
      <w14:ligatures w14:val="none"/>
    </w:rPr>
  </w:style>
  <w:style w:type="paragraph" w:customStyle="1" w:styleId="References">
    <w:name w:val="References"/>
    <w:basedOn w:val="Normal"/>
    <w:link w:val="ReferencesChar"/>
    <w:qFormat/>
    <w:rsid w:val="00043495"/>
    <w:pPr>
      <w:numPr>
        <w:numId w:val="10"/>
      </w:numPr>
      <w:spacing w:after="120"/>
      <w:ind w:left="317" w:hanging="317"/>
    </w:pPr>
    <w:rPr>
      <w:sz w:val="16"/>
    </w:rPr>
  </w:style>
  <w:style w:type="character" w:customStyle="1" w:styleId="ReferencesChar">
    <w:name w:val="References Char"/>
    <w:basedOn w:val="DefaultParagraphFont"/>
    <w:link w:val="References"/>
    <w:rsid w:val="00043495"/>
    <w:rPr>
      <w:rFonts w:asciiTheme="majorBidi" w:eastAsia="Times New Roman" w:hAnsiTheme="majorBidi" w:cstheme="majorBidi"/>
      <w:bCs/>
      <w:kern w:val="0"/>
      <w:sz w:val="16"/>
      <w:szCs w:val="20"/>
      <w14:ligatures w14:val="none"/>
    </w:rPr>
  </w:style>
  <w:style w:type="paragraph" w:customStyle="1" w:styleId="ReferenceLink">
    <w:name w:val="ReferenceLink"/>
    <w:basedOn w:val="References"/>
    <w:link w:val="ReferenceLinkChar"/>
    <w:qFormat/>
    <w:rsid w:val="00A1782B"/>
    <w:pPr>
      <w:ind w:left="230" w:hanging="230"/>
    </w:pPr>
    <w:rPr>
      <w:color w:val="0000FF"/>
    </w:rPr>
  </w:style>
  <w:style w:type="character" w:customStyle="1" w:styleId="ReferenceLinkChar">
    <w:name w:val="ReferenceLink Char"/>
    <w:basedOn w:val="ReferencesChar"/>
    <w:link w:val="ReferenceLink"/>
    <w:rsid w:val="00A1782B"/>
    <w:rPr>
      <w:rFonts w:asciiTheme="majorBidi" w:eastAsia="Times New Roman" w:hAnsiTheme="majorBidi" w:cstheme="majorBidi"/>
      <w:bCs/>
      <w:color w:val="0000FF"/>
      <w:kern w:val="0"/>
      <w:sz w:val="16"/>
      <w:szCs w:val="20"/>
      <w14:ligatures w14:val="none"/>
    </w:rPr>
  </w:style>
  <w:style w:type="paragraph" w:customStyle="1" w:styleId="2colH2">
    <w:name w:val="2colH2"/>
    <w:aliases w:val="2H2"/>
    <w:basedOn w:val="Normal"/>
    <w:rsid w:val="00922DC2"/>
    <w:pPr>
      <w:tabs>
        <w:tab w:val="left" w:pos="360"/>
      </w:tabs>
      <w:spacing w:after="60" w:line="240" w:lineRule="atLeast"/>
      <w:jc w:val="left"/>
    </w:pPr>
    <w:rPr>
      <w:rFonts w:ascii="Times New Roman" w:hAnsi="Times New Roman" w:cs="Times New Roman"/>
      <w:bCs w:val="0"/>
      <w:i/>
      <w:szCs w:val="24"/>
      <w:lang w:val="en-GB"/>
    </w:rPr>
  </w:style>
  <w:style w:type="character" w:styleId="PlaceholderText">
    <w:name w:val="Placeholder Text"/>
    <w:basedOn w:val="DefaultParagraphFont"/>
    <w:uiPriority w:val="99"/>
    <w:semiHidden/>
    <w:rsid w:val="00B729A5"/>
    <w:rPr>
      <w:color w:val="666666"/>
    </w:rPr>
  </w:style>
  <w:style w:type="table" w:styleId="TableGridLight">
    <w:name w:val="Grid Table Light"/>
    <w:basedOn w:val="TableNormal"/>
    <w:uiPriority w:val="40"/>
    <w:rsid w:val="00472E6C"/>
    <w:pPr>
      <w:spacing w:after="0" w:line="240" w:lineRule="auto"/>
    </w:pPr>
    <w:tblPr/>
    <w:tcPr>
      <w:tcMar>
        <w:left w:w="0" w:type="dxa"/>
        <w:right w:w="0" w:type="dxa"/>
      </w:tcMar>
    </w:tcPr>
  </w:style>
  <w:style w:type="table" w:styleId="PlainTable4">
    <w:name w:val="Plain Table 4"/>
    <w:basedOn w:val="TableNormal"/>
    <w:uiPriority w:val="44"/>
    <w:rsid w:val="00472E6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tyle1">
    <w:name w:val="Style1"/>
    <w:basedOn w:val="TableNormal"/>
    <w:uiPriority w:val="99"/>
    <w:rsid w:val="00472E6C"/>
    <w:pPr>
      <w:spacing w:after="0" w:line="240" w:lineRule="auto"/>
    </w:pPr>
    <w:tblPr/>
    <w:tcPr>
      <w:tcMar>
        <w:left w:w="0" w:type="dxa"/>
        <w:right w:w="0" w:type="dxa"/>
      </w:tcMar>
    </w:tcPr>
  </w:style>
  <w:style w:type="character" w:customStyle="1" w:styleId="ListParagraphChar">
    <w:name w:val="List Paragraph Char"/>
    <w:link w:val="ListParagraph"/>
    <w:uiPriority w:val="34"/>
    <w:qFormat/>
    <w:locked/>
    <w:rsid w:val="000C4DF1"/>
    <w:rPr>
      <w:rFonts w:asciiTheme="majorBidi" w:eastAsia="Times New Roman" w:hAnsiTheme="majorBidi" w:cstheme="majorBidi"/>
      <w:bCs/>
      <w:kern w:val="0"/>
      <w:sz w:val="20"/>
      <w:szCs w:val="20"/>
      <w14:ligatures w14:val="none"/>
    </w:rPr>
  </w:style>
  <w:style w:type="paragraph" w:styleId="Caption">
    <w:name w:val="caption"/>
    <w:basedOn w:val="Normal"/>
    <w:next w:val="Normal"/>
    <w:uiPriority w:val="35"/>
    <w:unhideWhenUsed/>
    <w:qFormat/>
    <w:rsid w:val="00740550"/>
    <w:pPr>
      <w:spacing w:after="200"/>
    </w:pPr>
    <w:rPr>
      <w:i/>
      <w:iCs/>
      <w:color w:val="44546A" w:themeColor="text2"/>
      <w:sz w:val="18"/>
      <w:szCs w:val="18"/>
    </w:rPr>
  </w:style>
  <w:style w:type="character" w:styleId="FollowedHyperlink">
    <w:name w:val="FollowedHyperlink"/>
    <w:basedOn w:val="DefaultParagraphFont"/>
    <w:uiPriority w:val="99"/>
    <w:semiHidden/>
    <w:unhideWhenUsed/>
    <w:rsid w:val="00516CCA"/>
    <w:rPr>
      <w:color w:val="954F72" w:themeColor="followedHyperlink"/>
      <w:u w:val="single"/>
    </w:rPr>
  </w:style>
  <w:style w:type="paragraph" w:styleId="BodyText">
    <w:name w:val="Body Text"/>
    <w:basedOn w:val="Normal"/>
    <w:link w:val="BodyTextChar"/>
    <w:uiPriority w:val="1"/>
    <w:semiHidden/>
    <w:unhideWhenUsed/>
    <w:rsid w:val="00B303DA"/>
    <w:pPr>
      <w:spacing w:after="200" w:line="360" w:lineRule="auto"/>
    </w:pPr>
    <w:rPr>
      <w:rFonts w:eastAsiaTheme="minorHAnsi"/>
      <w:bCs w:val="0"/>
      <w:sz w:val="26"/>
      <w:szCs w:val="26"/>
    </w:rPr>
  </w:style>
  <w:style w:type="character" w:customStyle="1" w:styleId="BodyTextChar">
    <w:name w:val="Body Text Char"/>
    <w:basedOn w:val="DefaultParagraphFont"/>
    <w:link w:val="BodyText"/>
    <w:uiPriority w:val="1"/>
    <w:semiHidden/>
    <w:rsid w:val="00B303DA"/>
    <w:rPr>
      <w:rFonts w:asciiTheme="majorBidi" w:hAnsiTheme="majorBidi" w:cstheme="majorBidi"/>
      <w:kern w:val="0"/>
      <w:sz w:val="26"/>
      <w:szCs w:val="26"/>
      <w14:ligatures w14:val="none"/>
    </w:rPr>
  </w:style>
  <w:style w:type="paragraph" w:customStyle="1" w:styleId="ng-star-inserted">
    <w:name w:val="ng-star-inserted"/>
    <w:basedOn w:val="Normal"/>
    <w:rsid w:val="00B303DA"/>
    <w:pPr>
      <w:spacing w:before="100" w:beforeAutospacing="1" w:after="100" w:afterAutospacing="1"/>
      <w:jc w:val="left"/>
    </w:pPr>
    <w:rPr>
      <w:rFonts w:ascii="Times New Roman" w:hAnsi="Times New Roman" w:cs="Times New Roman"/>
      <w:bCs w:val="0"/>
      <w:sz w:val="24"/>
      <w:szCs w:val="24"/>
    </w:rPr>
  </w:style>
  <w:style w:type="paragraph" w:customStyle="1" w:styleId="RALs-Authors">
    <w:name w:val="RALs-Authors"/>
    <w:basedOn w:val="Normal"/>
    <w:next w:val="Normal"/>
    <w:qFormat/>
    <w:rsid w:val="00EB1B6E"/>
    <w:pPr>
      <w:spacing w:before="120" w:after="120"/>
      <w:ind w:firstLine="720"/>
      <w:jc w:val="center"/>
    </w:pPr>
    <w:rPr>
      <w:rFonts w:ascii="Times New Roman" w:hAnsi="Times New Roman" w:cs="Times New Roman"/>
      <w:bCs w:val="0"/>
      <w:i/>
      <w:lang w:bidi="fa-IR"/>
    </w:rPr>
  </w:style>
  <w:style w:type="paragraph" w:styleId="FootnoteText">
    <w:name w:val="footnote text"/>
    <w:aliases w:val="RALs"/>
    <w:basedOn w:val="Normal"/>
    <w:link w:val="FootnoteTextChar"/>
    <w:uiPriority w:val="99"/>
    <w:unhideWhenUsed/>
    <w:rsid w:val="00EB1B6E"/>
    <w:pPr>
      <w:ind w:left="142" w:hanging="142"/>
    </w:pPr>
    <w:rPr>
      <w:rFonts w:ascii="Times New Roman" w:hAnsi="Times New Roman" w:cs="B Zar"/>
      <w:bCs w:val="0"/>
    </w:rPr>
  </w:style>
  <w:style w:type="character" w:customStyle="1" w:styleId="FootnoteTextChar">
    <w:name w:val="Footnote Text Char"/>
    <w:aliases w:val="RALs Char"/>
    <w:basedOn w:val="DefaultParagraphFont"/>
    <w:link w:val="FootnoteText"/>
    <w:uiPriority w:val="99"/>
    <w:rsid w:val="00EB1B6E"/>
    <w:rPr>
      <w:rFonts w:ascii="Times New Roman" w:eastAsia="Times New Roman" w:hAnsi="Times New Roman" w:cs="B Za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033253">
      <w:bodyDiv w:val="1"/>
      <w:marLeft w:val="0"/>
      <w:marRight w:val="0"/>
      <w:marTop w:val="0"/>
      <w:marBottom w:val="0"/>
      <w:divBdr>
        <w:top w:val="none" w:sz="0" w:space="0" w:color="auto"/>
        <w:left w:val="none" w:sz="0" w:space="0" w:color="auto"/>
        <w:bottom w:val="none" w:sz="0" w:space="0" w:color="auto"/>
        <w:right w:val="none" w:sz="0" w:space="0" w:color="auto"/>
      </w:divBdr>
    </w:div>
    <w:div w:id="288513923">
      <w:bodyDiv w:val="1"/>
      <w:marLeft w:val="0"/>
      <w:marRight w:val="0"/>
      <w:marTop w:val="0"/>
      <w:marBottom w:val="0"/>
      <w:divBdr>
        <w:top w:val="none" w:sz="0" w:space="0" w:color="auto"/>
        <w:left w:val="none" w:sz="0" w:space="0" w:color="auto"/>
        <w:bottom w:val="none" w:sz="0" w:space="0" w:color="auto"/>
        <w:right w:val="none" w:sz="0" w:space="0" w:color="auto"/>
      </w:divBdr>
    </w:div>
    <w:div w:id="731463323">
      <w:bodyDiv w:val="1"/>
      <w:marLeft w:val="0"/>
      <w:marRight w:val="0"/>
      <w:marTop w:val="0"/>
      <w:marBottom w:val="0"/>
      <w:divBdr>
        <w:top w:val="none" w:sz="0" w:space="0" w:color="auto"/>
        <w:left w:val="none" w:sz="0" w:space="0" w:color="auto"/>
        <w:bottom w:val="none" w:sz="0" w:space="0" w:color="auto"/>
        <w:right w:val="none" w:sz="0" w:space="0" w:color="auto"/>
      </w:divBdr>
    </w:div>
    <w:div w:id="100512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chart" Target="charts/chart1.xml"/><Relationship Id="rId26" Type="http://schemas.openxmlformats.org/officeDocument/2006/relationships/hyperlink" Target="https://doi.org/10.3389/fpsyg.2022.1019984" TargetMode="External"/><Relationship Id="rId39" Type="http://schemas.openxmlformats.org/officeDocument/2006/relationships/hyperlink" Target="https://doi.org/10.1037/0022-0663.99.4.761" TargetMode="External"/><Relationship Id="rId21" Type="http://schemas.openxmlformats.org/officeDocument/2006/relationships/hyperlink" Target="https://doi.org/10.3389/fpsyg.2022.900417" TargetMode="External"/><Relationship Id="rId34" Type="http://schemas.openxmlformats.org/officeDocument/2006/relationships/hyperlink" Target="https://doi.org/10.1017/S0272263122000031" TargetMode="External"/><Relationship Id="rId42" Type="http://schemas.openxmlformats.org/officeDocument/2006/relationships/hyperlink" Target="https://doi.org/10.1002/piq.21251" TargetMode="External"/><Relationship Id="rId47" Type="http://schemas.openxmlformats.org/officeDocument/2006/relationships/hyperlink" Target="https://doi.org/10.3389/fpsyg.2021.828901" TargetMode="External"/><Relationship Id="rId50" Type="http://schemas.openxmlformats.org/officeDocument/2006/relationships/hyperlink" Target="https://doi.org/10.1016/j.tate.2016.10.01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png"/><Relationship Id="rId29" Type="http://schemas.openxmlformats.org/officeDocument/2006/relationships/hyperlink" Target="https://doi.org/10.1016/j.brat.2014.05.006" TargetMode="External"/><Relationship Id="rId11" Type="http://schemas.openxmlformats.org/officeDocument/2006/relationships/header" Target="header2.xml"/><Relationship Id="rId24" Type="http://schemas.openxmlformats.org/officeDocument/2006/relationships/hyperlink" Target="https://doi.org/10.3389/fpsyg.2020.01650" TargetMode="External"/><Relationship Id="rId32" Type="http://schemas.openxmlformats.org/officeDocument/2006/relationships/hyperlink" Target="https://doi.org/10.1037/0022-3514.85.2.348" TargetMode="External"/><Relationship Id="rId37" Type="http://schemas.openxmlformats.org/officeDocument/2006/relationships/hyperlink" Target="https://doi.org/10.1016/j.system.2021.102506" TargetMode="External"/><Relationship Id="rId40" Type="http://schemas.openxmlformats.org/officeDocument/2006/relationships/hyperlink" Target="https://doi.org/10.3389/fpsyg.2022.850204" TargetMode="External"/><Relationship Id="rId45" Type="http://schemas.openxmlformats.org/officeDocument/2006/relationships/hyperlink" Target="https://doi.org/10.1080/01434632.2019.1571075"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eader" Target="header1.xml"/><Relationship Id="rId19" Type="http://schemas.openxmlformats.org/officeDocument/2006/relationships/hyperlink" Target="https://doi.org/10.1016/j.tate.2020.103186" TargetMode="External"/><Relationship Id="rId31" Type="http://schemas.openxmlformats.org/officeDocument/2006/relationships/hyperlink" Target="https://doi.org/10.1016/j.system.2020.102446" TargetMode="External"/><Relationship Id="rId44" Type="http://schemas.openxmlformats.org/officeDocument/2006/relationships/hyperlink" Target="https://doi.org/10.52598/jpll/2/1/7"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57647/jelpp.2025.1802.17" TargetMode="External"/><Relationship Id="rId14" Type="http://schemas.openxmlformats.org/officeDocument/2006/relationships/header" Target="header3.xml"/><Relationship Id="rId22" Type="http://schemas.openxmlformats.org/officeDocument/2006/relationships/hyperlink" Target="https://doi.org/10.1177/0146167212445599" TargetMode="External"/><Relationship Id="rId27" Type="http://schemas.openxmlformats.org/officeDocument/2006/relationships/hyperlink" Target="https://doi.org/10.1515/cjal-2022-0104" TargetMode="External"/><Relationship Id="rId30" Type="http://schemas.openxmlformats.org/officeDocument/2006/relationships/hyperlink" Target="https://doi.org/10.22132/TEL.2019.95883" TargetMode="External"/><Relationship Id="rId35" Type="http://schemas.openxmlformats.org/officeDocument/2006/relationships/hyperlink" Target="https://doi.org/10.3389/fpsyg.2022.1005071" TargetMode="External"/><Relationship Id="rId43" Type="http://schemas.openxmlformats.org/officeDocument/2006/relationships/hyperlink" Target="https://doi.org/10.1177/0004944120908960" TargetMode="External"/><Relationship Id="rId48" Type="http://schemas.openxmlformats.org/officeDocument/2006/relationships/hyperlink" Target="https://doi.org/10.3389/fpsyg.2022.904151" TargetMode="External"/><Relationship Id="rId8" Type="http://schemas.openxmlformats.org/officeDocument/2006/relationships/hyperlink" Target="https://creativecommons.org/licenses/by/4.0/deed.en" TargetMode="External"/><Relationship Id="rId51" Type="http://schemas.openxmlformats.org/officeDocument/2006/relationships/hyperlink" Target="https://doi.org/10.3389/fpsyg.2019.00839"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6.png"/><Relationship Id="rId25" Type="http://schemas.openxmlformats.org/officeDocument/2006/relationships/hyperlink" Target="https://doi.org/10.1080/13540602.2020.1740198" TargetMode="External"/><Relationship Id="rId33" Type="http://schemas.openxmlformats.org/officeDocument/2006/relationships/hyperlink" Target="https://doi.org/10.14786/flr.v1i2.44" TargetMode="External"/><Relationship Id="rId38" Type="http://schemas.openxmlformats.org/officeDocument/2006/relationships/hyperlink" Target="https://doi.org/10.1080/01434632.2022.2057504" TargetMode="External"/><Relationship Id="rId46" Type="http://schemas.openxmlformats.org/officeDocument/2006/relationships/hyperlink" Target="https://doi.org/10.3389/fpsyg.2022.918488" TargetMode="External"/><Relationship Id="rId20" Type="http://schemas.openxmlformats.org/officeDocument/2006/relationships/hyperlink" Target="https://doi.org/10.1080/14623943.2021.1873758" TargetMode="External"/><Relationship Id="rId41" Type="http://schemas.openxmlformats.org/officeDocument/2006/relationships/hyperlink" Target="https://doi.org/10.1080/13540602.2021.191340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s://doi.org/10.1007/s10902-017-9903-9" TargetMode="External"/><Relationship Id="rId28" Type="http://schemas.openxmlformats.org/officeDocument/2006/relationships/hyperlink" Target="https://doi.org/10.1177/1362168817692161" TargetMode="External"/><Relationship Id="rId36" Type="http://schemas.openxmlformats.org/officeDocument/2006/relationships/hyperlink" Target="https://doi.org/10.1016/j.system.2016.12.011" TargetMode="External"/><Relationship Id="rId49" Type="http://schemas.openxmlformats.org/officeDocument/2006/relationships/hyperlink" Target="https://doi.org/10.1002/ab.22030"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doi.org/10.57647/jelpp.2025.1802.17"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https://doi.org/10.57647/jelpp.2025.1802.17" TargetMode="External"/><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hyperlink" Target="https://doi.org/10.57647/jelpp.2025.1802.17"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8" Type="http://schemas.openxmlformats.org/officeDocument/2006/relationships/hyperlink" Target="mailto:farnoush.ahangaran@iau.ac.ir" TargetMode="External"/><Relationship Id="rId3" Type="http://schemas.openxmlformats.org/officeDocument/2006/relationships/hyperlink" Target="https://doi.org/10.57647/jelpp.2025.1802.17" TargetMode="External"/><Relationship Id="rId7" Type="http://schemas.openxmlformats.org/officeDocument/2006/relationships/hyperlink" Target="https://orcid.org/0009-0005-9218-0866" TargetMode="External"/><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4.png"/><Relationship Id="rId5" Type="http://schemas.openxmlformats.org/officeDocument/2006/relationships/hyperlink" Target="https://orcid.org/0009-0009-6215-5351" TargetMode="External"/><Relationship Id="rId4" Type="http://schemas.openxmlformats.org/officeDocument/2006/relationships/hyperlink" Target="https://orcid.org/0009-0009-9799-9829"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Series 1</c:v>
                </c:pt>
              </c:strCache>
            </c:strRef>
          </c:tx>
          <c:spPr>
            <a:solidFill>
              <a:schemeClr val="accent1"/>
            </a:solidFill>
            <a:ln>
              <a:noFill/>
            </a:ln>
            <a:effectLst/>
            <a:sp3d/>
          </c:spPr>
          <c:invertIfNegative val="0"/>
          <c:cat>
            <c:strRef>
              <c:f>Sheet1!$A$2:$A$3</c:f>
              <c:strCache>
                <c:ptCount val="2"/>
                <c:pt idx="0">
                  <c:v>German  Teachers</c:v>
                </c:pt>
                <c:pt idx="1">
                  <c:v>Iranian Teachers</c:v>
                </c:pt>
              </c:strCache>
            </c:strRef>
          </c:cat>
          <c:val>
            <c:numRef>
              <c:f>Sheet1!$B$2:$B$3</c:f>
              <c:numCache>
                <c:formatCode>General</c:formatCode>
                <c:ptCount val="2"/>
                <c:pt idx="0">
                  <c:v>60.54</c:v>
                </c:pt>
                <c:pt idx="1">
                  <c:v>53.03</c:v>
                </c:pt>
              </c:numCache>
            </c:numRef>
          </c:val>
          <c:extLst>
            <c:ext xmlns:c16="http://schemas.microsoft.com/office/drawing/2014/chart" uri="{C3380CC4-5D6E-409C-BE32-E72D297353CC}">
              <c16:uniqueId val="{00000000-8EA5-4461-9E2C-9DC685641893}"/>
            </c:ext>
          </c:extLst>
        </c:ser>
        <c:dLbls>
          <c:showLegendKey val="0"/>
          <c:showVal val="0"/>
          <c:showCatName val="0"/>
          <c:showSerName val="0"/>
          <c:showPercent val="0"/>
          <c:showBubbleSize val="0"/>
        </c:dLbls>
        <c:gapWidth val="150"/>
        <c:shape val="box"/>
        <c:axId val="371620808"/>
        <c:axId val="371621136"/>
        <c:axId val="0"/>
      </c:bar3DChart>
      <c:catAx>
        <c:axId val="37162080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71621136"/>
        <c:crosses val="autoZero"/>
        <c:auto val="1"/>
        <c:lblAlgn val="ctr"/>
        <c:lblOffset val="100"/>
        <c:noMultiLvlLbl val="0"/>
      </c:catAx>
      <c:valAx>
        <c:axId val="3716211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716208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C5A1F-3AB8-423F-AD1B-DD3CBD9AC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11</Pages>
  <Words>6757</Words>
  <Characters>38516</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A Structural Equation Modelling Analysis of Factors Influencing Teaching Motivation among German and Iranian English Instructors</vt:lpstr>
    </vt:vector>
  </TitlesOfParts>
  <Manager>OICCPress</Manager>
  <Company>OICCPress</Company>
  <LinksUpToDate>false</LinksUpToDate>
  <CharactersWithSpaces>45183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Structural Equation Modelling Analysis of Factors Influencing Teaching Motivation among German and Iranian English Instructors</dc:title>
  <dc:subject>Journal of English Language Pedagogy and Practice (JELPP)</dc:subject>
  <dc:creator>Farnoush Ahangaran et al.</dc:creator>
  <cp:keywords>German English teachers; Iranian English teachers; teacher factors; teaching motivation</cp:keywords>
  <dc:description/>
  <cp:lastModifiedBy>mehrnaz</cp:lastModifiedBy>
  <cp:revision>40</cp:revision>
  <cp:lastPrinted>2026-02-22T12:26:00Z</cp:lastPrinted>
  <dcterms:created xsi:type="dcterms:W3CDTF">2026-01-24T20:17:00Z</dcterms:created>
  <dcterms:modified xsi:type="dcterms:W3CDTF">2026-02-22T12:26:00Z</dcterms:modified>
</cp:coreProperties>
</file>